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EFA6" w14:textId="77777777" w:rsidR="00873159" w:rsidRPr="00072E1C" w:rsidRDefault="007364FC" w:rsidP="00072E1C">
      <w:pPr>
        <w:pStyle w:val="Heading1"/>
        <w:rPr>
          <w:rFonts w:asciiTheme="minorHAnsi" w:hAnsiTheme="minorHAnsi"/>
          <w:sz w:val="20"/>
          <w:szCs w:val="20"/>
        </w:rPr>
      </w:pPr>
      <w:r w:rsidRPr="00072E1C">
        <w:rPr>
          <w:rFonts w:asciiTheme="minorHAnsi" w:hAnsiTheme="minorHAnsi"/>
          <w:sz w:val="20"/>
          <w:szCs w:val="20"/>
        </w:rPr>
        <w:t>General Rental Requirements and Qualifications – LeasingDesk - WA</w:t>
      </w:r>
      <w:r w:rsidR="00873159" w:rsidRPr="00072E1C">
        <w:rPr>
          <w:rFonts w:asciiTheme="minorHAnsi" w:hAnsiTheme="minorHAnsi"/>
          <w:sz w:val="20"/>
          <w:szCs w:val="20"/>
        </w:rPr>
        <w:t xml:space="preserve"> - Muriel's Landing</w:t>
      </w:r>
      <w:r w:rsidR="008C1DA9" w:rsidRPr="00072E1C">
        <w:rPr>
          <w:rFonts w:asciiTheme="minorHAnsi" w:hAnsiTheme="minorHAnsi"/>
          <w:sz w:val="20"/>
          <w:szCs w:val="20"/>
        </w:rPr>
        <w:br/>
      </w:r>
    </w:p>
    <w:p w14:paraId="76784FCC" w14:textId="1EA2E8CC" w:rsidR="008E41BC" w:rsidRDefault="008E41BC" w:rsidP="00C64C2F">
      <w:pPr>
        <w:rPr>
          <w:rFonts w:asciiTheme="minorHAnsi" w:hAnsiTheme="minorHAnsi" w:cstheme="minorHAnsi"/>
          <w:sz w:val="20"/>
          <w:szCs w:val="20"/>
        </w:rPr>
      </w:pPr>
      <w:r>
        <w:rPr>
          <w:rFonts w:asciiTheme="minorHAnsi" w:hAnsiTheme="minorHAnsi" w:cstheme="minorHAnsi"/>
          <w:sz w:val="20"/>
          <w:szCs w:val="20"/>
        </w:rPr>
        <w:t>City of Seattle Disclosure:  Applicants are notified that landlords in the City of Seattle are prohibited from requiring disclosure, asking about, rejecting an applicant, or taking an adverse action based on any arrest record, conviction record, or criminal history, except for registry information as described in subsections 14.09.025.A.3, 14.09.025.A.4, and 14.09.025.A.5, and subject to the exclusions and legal requirements in Section 14.09.115.  Applicants are further notified that the application is based on the screening criteria for this community, which is attached to this application.  Applicant may provide supplemental information related to Applicant’s rehabilitation, good conduct, and facts or explanations regarding their registry information.</w:t>
      </w:r>
    </w:p>
    <w:p w14:paraId="6AC9A436" w14:textId="54AD9E1B" w:rsidR="00193A00" w:rsidRDefault="00193A00" w:rsidP="00C64C2F">
      <w:pPr>
        <w:rPr>
          <w:rFonts w:asciiTheme="minorHAnsi" w:hAnsiTheme="minorHAnsi" w:cstheme="minorHAnsi"/>
          <w:sz w:val="20"/>
          <w:szCs w:val="20"/>
        </w:rPr>
      </w:pPr>
    </w:p>
    <w:p w14:paraId="718A7DED" w14:textId="77777777" w:rsidR="00193A00" w:rsidRPr="00137AC1" w:rsidRDefault="00193A00" w:rsidP="00193A00">
      <w:pPr>
        <w:rPr>
          <w:rFonts w:ascii="Calibri" w:hAnsi="Calibri" w:cs="Calibri"/>
          <w:sz w:val="22"/>
          <w:szCs w:val="22"/>
        </w:rPr>
      </w:pPr>
      <w:r w:rsidRPr="00137AC1">
        <w:rPr>
          <w:rStyle w:val="Strong"/>
          <w:rFonts w:ascii="Calibri" w:hAnsi="Calibri" w:cs="Calibri"/>
          <w:color w:val="000000"/>
          <w:sz w:val="22"/>
          <w:szCs w:val="22"/>
        </w:rPr>
        <w:t>IMPORTANT NOTICE - The landlord is prohibited from taking an adverse action against a tenant based on eviction history occurring during or within six months after the end of the civil emergency proclaimed by Mayor Durkan on March 3, 2020, and that the Seattle Office for Civil Rights is the department that will enforce any violations of this ordinance.</w:t>
      </w:r>
    </w:p>
    <w:p w14:paraId="1AB786DE" w14:textId="77777777" w:rsidR="008E41BC" w:rsidRDefault="008E41BC" w:rsidP="00C64C2F">
      <w:pPr>
        <w:rPr>
          <w:rFonts w:asciiTheme="minorHAnsi" w:hAnsiTheme="minorHAnsi" w:cstheme="minorHAnsi"/>
          <w:sz w:val="20"/>
          <w:szCs w:val="20"/>
        </w:rPr>
      </w:pPr>
    </w:p>
    <w:p w14:paraId="41F69264" w14:textId="2E4EC331" w:rsidR="007364FC" w:rsidRPr="00072E1C" w:rsidRDefault="007364FC" w:rsidP="00C64C2F">
      <w:pPr>
        <w:rPr>
          <w:rFonts w:asciiTheme="minorHAnsi" w:hAnsiTheme="minorHAnsi"/>
          <w:b/>
          <w:sz w:val="20"/>
          <w:szCs w:val="20"/>
        </w:rPr>
      </w:pPr>
      <w:r w:rsidRPr="00072E1C">
        <w:rPr>
          <w:rFonts w:asciiTheme="minorHAnsi" w:hAnsiTheme="minorHAnsi"/>
          <w:sz w:val="20"/>
          <w:szCs w:val="20"/>
        </w:rPr>
        <w:t>Each resident is required to complete one copy of the application form.</w:t>
      </w:r>
      <w:r w:rsidR="008C1DA9" w:rsidRPr="00072E1C">
        <w:rPr>
          <w:rFonts w:asciiTheme="minorHAnsi" w:hAnsiTheme="minorHAnsi"/>
          <w:sz w:val="20"/>
          <w:szCs w:val="20"/>
        </w:rPr>
        <w:t xml:space="preserve"> </w:t>
      </w:r>
      <w:r w:rsidRPr="00072E1C">
        <w:rPr>
          <w:rFonts w:asciiTheme="minorHAnsi" w:hAnsiTheme="minorHAnsi"/>
          <w:sz w:val="20"/>
          <w:szCs w:val="20"/>
        </w:rPr>
        <w:t>An application must be submitted on each resident or occupant 18 years of age or older.</w:t>
      </w:r>
      <w:r w:rsidR="008C1DA9" w:rsidRPr="00072E1C">
        <w:rPr>
          <w:rFonts w:asciiTheme="minorHAnsi" w:hAnsiTheme="minorHAnsi"/>
          <w:sz w:val="20"/>
          <w:szCs w:val="20"/>
        </w:rPr>
        <w:t xml:space="preserve"> </w:t>
      </w:r>
      <w:r w:rsidR="00193A00" w:rsidRPr="00E11B55">
        <w:rPr>
          <w:rFonts w:asciiTheme="minorHAnsi" w:hAnsiTheme="minorHAnsi"/>
          <w:sz w:val="20"/>
          <w:szCs w:val="20"/>
        </w:rPr>
        <w:t xml:space="preserve">At least one lease holding resident 18 years of age or older must reside in the apartment home, </w:t>
      </w:r>
      <w:proofErr w:type="gramStart"/>
      <w:r w:rsidR="00193A00" w:rsidRPr="00E11B55">
        <w:rPr>
          <w:rFonts w:asciiTheme="minorHAnsi" w:hAnsiTheme="minorHAnsi"/>
          <w:sz w:val="20"/>
          <w:szCs w:val="20"/>
        </w:rPr>
        <w:t>with the exception of</w:t>
      </w:r>
      <w:proofErr w:type="gramEnd"/>
      <w:r w:rsidR="00193A00" w:rsidRPr="00E11B55">
        <w:rPr>
          <w:rFonts w:asciiTheme="minorHAnsi" w:hAnsiTheme="minorHAnsi"/>
          <w:sz w:val="20"/>
          <w:szCs w:val="20"/>
        </w:rPr>
        <w:t xml:space="preserve"> emancipated minors.</w:t>
      </w:r>
      <w:r w:rsidR="008C1DA9" w:rsidRPr="00E11B55">
        <w:rPr>
          <w:rFonts w:asciiTheme="minorHAnsi" w:hAnsiTheme="minorHAnsi"/>
          <w:sz w:val="18"/>
          <w:szCs w:val="18"/>
        </w:rPr>
        <w:t xml:space="preserve"> </w:t>
      </w:r>
      <w:r w:rsidRPr="00072E1C">
        <w:rPr>
          <w:rFonts w:asciiTheme="minorHAnsi" w:hAnsiTheme="minorHAnsi"/>
          <w:b/>
          <w:sz w:val="20"/>
          <w:szCs w:val="20"/>
        </w:rPr>
        <w:t xml:space="preserve">Upon acceptance of any application, the back must be </w:t>
      </w:r>
      <w:proofErr w:type="gramStart"/>
      <w:r w:rsidRPr="00072E1C">
        <w:rPr>
          <w:rFonts w:asciiTheme="minorHAnsi" w:hAnsiTheme="minorHAnsi"/>
          <w:b/>
          <w:sz w:val="20"/>
          <w:szCs w:val="20"/>
        </w:rPr>
        <w:t>completely filled</w:t>
      </w:r>
      <w:proofErr w:type="gramEnd"/>
      <w:r w:rsidRPr="00072E1C">
        <w:rPr>
          <w:rFonts w:asciiTheme="minorHAnsi" w:hAnsiTheme="minorHAnsi"/>
          <w:b/>
          <w:sz w:val="20"/>
          <w:szCs w:val="20"/>
        </w:rPr>
        <w:t xml:space="preserve"> out and signed where necessary.</w:t>
      </w:r>
      <w:r w:rsidR="008C1DA9" w:rsidRPr="00072E1C">
        <w:rPr>
          <w:rFonts w:asciiTheme="minorHAnsi" w:hAnsiTheme="minorHAnsi"/>
          <w:b/>
          <w:sz w:val="20"/>
          <w:szCs w:val="20"/>
        </w:rPr>
        <w:t xml:space="preserve"> </w:t>
      </w:r>
      <w:r w:rsidRPr="00072E1C">
        <w:rPr>
          <w:rFonts w:asciiTheme="minorHAnsi" w:hAnsiTheme="minorHAnsi"/>
          <w:b/>
          <w:sz w:val="20"/>
          <w:szCs w:val="20"/>
          <w:u w:val="single"/>
        </w:rPr>
        <w:t>Two Forms of Payment Required: One for the application fee, one for the security deposit.</w:t>
      </w:r>
    </w:p>
    <w:p w14:paraId="2B5ACD10" w14:textId="77777777" w:rsidR="007364FC" w:rsidRPr="00072E1C" w:rsidRDefault="007364FC" w:rsidP="00C64C2F">
      <w:pPr>
        <w:rPr>
          <w:rFonts w:asciiTheme="minorHAnsi" w:hAnsiTheme="minorHAnsi"/>
          <w:sz w:val="20"/>
          <w:szCs w:val="20"/>
        </w:rPr>
      </w:pPr>
    </w:p>
    <w:p w14:paraId="5579A445" w14:textId="77777777" w:rsidR="007364FC" w:rsidRPr="00072E1C" w:rsidRDefault="007364FC" w:rsidP="00C64C2F">
      <w:pPr>
        <w:numPr>
          <w:ilvl w:val="0"/>
          <w:numId w:val="1"/>
        </w:numPr>
        <w:tabs>
          <w:tab w:val="clear" w:pos="720"/>
        </w:tabs>
        <w:rPr>
          <w:rFonts w:asciiTheme="minorHAnsi" w:hAnsiTheme="minorHAnsi"/>
          <w:sz w:val="20"/>
          <w:szCs w:val="20"/>
        </w:rPr>
      </w:pPr>
      <w:r w:rsidRPr="00072E1C">
        <w:rPr>
          <w:rFonts w:asciiTheme="minorHAnsi" w:hAnsiTheme="minorHAnsi"/>
          <w:b/>
          <w:sz w:val="20"/>
          <w:szCs w:val="20"/>
        </w:rPr>
        <w:t xml:space="preserve">VERIFIABLE INCOME TO RENT EARNING RATIO: </w:t>
      </w:r>
    </w:p>
    <w:p w14:paraId="369FD384" w14:textId="77777777" w:rsidR="007364FC" w:rsidRPr="00072E1C" w:rsidRDefault="007364FC" w:rsidP="00C64C2F">
      <w:pPr>
        <w:numPr>
          <w:ilvl w:val="0"/>
          <w:numId w:val="2"/>
        </w:numPr>
        <w:tabs>
          <w:tab w:val="clear" w:pos="648"/>
        </w:tabs>
        <w:rPr>
          <w:rFonts w:asciiTheme="minorHAnsi" w:hAnsiTheme="minorHAnsi"/>
          <w:sz w:val="20"/>
          <w:szCs w:val="20"/>
        </w:rPr>
      </w:pPr>
      <w:r w:rsidRPr="00072E1C">
        <w:rPr>
          <w:rFonts w:asciiTheme="minorHAnsi" w:hAnsiTheme="minorHAnsi"/>
          <w:sz w:val="20"/>
          <w:szCs w:val="20"/>
        </w:rPr>
        <w:t>All lease holding applicants must have verifiable income</w:t>
      </w:r>
      <w:r w:rsidR="00371310" w:rsidRPr="00072E1C">
        <w:rPr>
          <w:rFonts w:asciiTheme="minorHAnsi" w:hAnsiTheme="minorHAnsi"/>
          <w:sz w:val="20"/>
          <w:szCs w:val="20"/>
        </w:rPr>
        <w:t>.</w:t>
      </w:r>
      <w:r w:rsidR="008C1DA9" w:rsidRPr="00072E1C">
        <w:rPr>
          <w:rFonts w:asciiTheme="minorHAnsi" w:hAnsiTheme="minorHAnsi"/>
          <w:sz w:val="20"/>
          <w:szCs w:val="20"/>
        </w:rPr>
        <w:t xml:space="preserve"> </w:t>
      </w:r>
      <w:r w:rsidR="00371310" w:rsidRPr="00072E1C">
        <w:rPr>
          <w:rFonts w:asciiTheme="minorHAnsi" w:hAnsiTheme="minorHAnsi"/>
          <w:sz w:val="20"/>
          <w:szCs w:val="20"/>
        </w:rPr>
        <w:t xml:space="preserve">The combined income must be at least </w:t>
      </w:r>
      <w:r w:rsidR="00067FE6" w:rsidRPr="00072E1C">
        <w:rPr>
          <w:rFonts w:asciiTheme="minorHAnsi" w:hAnsiTheme="minorHAnsi"/>
          <w:sz w:val="20"/>
          <w:szCs w:val="20"/>
        </w:rPr>
        <w:t>three (3)</w:t>
      </w:r>
      <w:r w:rsidRPr="00072E1C">
        <w:rPr>
          <w:rFonts w:asciiTheme="minorHAnsi" w:hAnsiTheme="minorHAnsi"/>
          <w:sz w:val="20"/>
          <w:szCs w:val="20"/>
        </w:rPr>
        <w:t xml:space="preserve"> times the monthly rent amount.</w:t>
      </w:r>
    </w:p>
    <w:p w14:paraId="2C8250BC" w14:textId="77777777" w:rsidR="007364FC" w:rsidRPr="00072E1C" w:rsidRDefault="007364FC" w:rsidP="00C64C2F">
      <w:pPr>
        <w:numPr>
          <w:ilvl w:val="0"/>
          <w:numId w:val="2"/>
        </w:numPr>
        <w:tabs>
          <w:tab w:val="clear" w:pos="648"/>
        </w:tabs>
        <w:rPr>
          <w:rFonts w:asciiTheme="minorHAnsi" w:hAnsiTheme="minorHAnsi"/>
          <w:sz w:val="20"/>
          <w:szCs w:val="20"/>
        </w:rPr>
      </w:pPr>
      <w:r w:rsidRPr="00072E1C">
        <w:rPr>
          <w:rFonts w:asciiTheme="minorHAnsi" w:hAnsiTheme="minorHAnsi"/>
          <w:sz w:val="20"/>
          <w:szCs w:val="20"/>
        </w:rPr>
        <w:t xml:space="preserve">Income must be verified using the last four paycheck stubs as well as a completed </w:t>
      </w:r>
      <w:r w:rsidRPr="00072E1C">
        <w:rPr>
          <w:rFonts w:asciiTheme="minorHAnsi" w:hAnsiTheme="minorHAnsi"/>
          <w:i/>
          <w:sz w:val="20"/>
          <w:szCs w:val="20"/>
        </w:rPr>
        <w:t>Employment History Verification</w:t>
      </w:r>
      <w:r w:rsidRPr="00072E1C">
        <w:rPr>
          <w:rFonts w:asciiTheme="minorHAnsi" w:hAnsiTheme="minorHAnsi"/>
          <w:sz w:val="20"/>
          <w:szCs w:val="20"/>
        </w:rPr>
        <w:t xml:space="preserve"> form executed by a direct supervisor or human resources.</w:t>
      </w:r>
      <w:r w:rsidR="008C1DA9" w:rsidRPr="00072E1C">
        <w:rPr>
          <w:rFonts w:asciiTheme="minorHAnsi" w:hAnsiTheme="minorHAnsi"/>
          <w:sz w:val="20"/>
          <w:szCs w:val="20"/>
        </w:rPr>
        <w:t xml:space="preserve"> </w:t>
      </w:r>
      <w:r w:rsidRPr="00072E1C">
        <w:rPr>
          <w:rFonts w:asciiTheme="minorHAnsi" w:hAnsiTheme="minorHAnsi"/>
          <w:sz w:val="20"/>
          <w:szCs w:val="20"/>
        </w:rPr>
        <w:t xml:space="preserve">If the applicant is self-employed, then the previous year’s tax return </w:t>
      </w:r>
      <w:r w:rsidR="006878DE">
        <w:rPr>
          <w:rFonts w:asciiTheme="minorHAnsi" w:hAnsiTheme="minorHAnsi"/>
          <w:sz w:val="20"/>
          <w:szCs w:val="20"/>
        </w:rPr>
        <w:t>and</w:t>
      </w:r>
      <w:r w:rsidRPr="00072E1C">
        <w:rPr>
          <w:rFonts w:asciiTheme="minorHAnsi" w:hAnsiTheme="minorHAnsi"/>
          <w:sz w:val="20"/>
          <w:szCs w:val="20"/>
        </w:rPr>
        <w:t xml:space="preserve"> bank statements from the last six months will be acceptable means of verification.</w:t>
      </w:r>
    </w:p>
    <w:p w14:paraId="1E6017B6" w14:textId="77777777" w:rsidR="007364FC" w:rsidRPr="008D7FFD" w:rsidRDefault="007364FC" w:rsidP="008D7FFD">
      <w:pPr>
        <w:pStyle w:val="ListParagraph"/>
        <w:numPr>
          <w:ilvl w:val="0"/>
          <w:numId w:val="2"/>
        </w:numPr>
        <w:tabs>
          <w:tab w:val="left" w:pos="360"/>
        </w:tabs>
        <w:rPr>
          <w:rFonts w:asciiTheme="minorHAnsi" w:hAnsiTheme="minorHAnsi"/>
          <w:sz w:val="20"/>
          <w:szCs w:val="20"/>
        </w:rPr>
      </w:pPr>
      <w:r w:rsidRPr="008D7FFD">
        <w:rPr>
          <w:rFonts w:asciiTheme="minorHAnsi" w:hAnsiTheme="minorHAnsi"/>
          <w:sz w:val="20"/>
          <w:szCs w:val="20"/>
        </w:rPr>
        <w:t>Verifiable income sources c</w:t>
      </w:r>
      <w:r w:rsidR="008C1DA9" w:rsidRPr="008D7FFD">
        <w:rPr>
          <w:rFonts w:asciiTheme="minorHAnsi" w:hAnsiTheme="minorHAnsi"/>
          <w:sz w:val="20"/>
          <w:szCs w:val="20"/>
        </w:rPr>
        <w:t xml:space="preserve">ould include: Current Employer, </w:t>
      </w:r>
      <w:r w:rsidRPr="008D7FFD">
        <w:rPr>
          <w:rFonts w:asciiTheme="minorHAnsi" w:hAnsiTheme="minorHAnsi"/>
          <w:sz w:val="20"/>
          <w:szCs w:val="20"/>
        </w:rPr>
        <w:t>Child Support, Grants, Pensions, Social Security, GI Benefits, Alimony, Disabilities, Unemployment*, Trust Funds, Assets Receiving Dividends, Savings Account**</w:t>
      </w:r>
      <w:r w:rsidR="00077E5B" w:rsidRPr="008D7FFD">
        <w:rPr>
          <w:rFonts w:asciiTheme="minorHAnsi" w:hAnsiTheme="minorHAnsi"/>
          <w:sz w:val="20"/>
          <w:szCs w:val="20"/>
        </w:rPr>
        <w:t>, and any federal, state, local government, private or nonprofit administered benefit program that can be verified for the entire term of the lease contract.</w:t>
      </w:r>
    </w:p>
    <w:p w14:paraId="677A6BAB" w14:textId="5CAD3E59" w:rsidR="007364FC" w:rsidRPr="00072E1C" w:rsidRDefault="007364FC" w:rsidP="00C64C2F">
      <w:pPr>
        <w:pStyle w:val="BodyTextIndent"/>
        <w:numPr>
          <w:ilvl w:val="0"/>
          <w:numId w:val="3"/>
        </w:numPr>
        <w:tabs>
          <w:tab w:val="clear" w:pos="0"/>
        </w:tabs>
        <w:rPr>
          <w:rFonts w:asciiTheme="minorHAnsi" w:hAnsiTheme="minorHAnsi"/>
          <w:sz w:val="20"/>
          <w:szCs w:val="20"/>
        </w:rPr>
      </w:pPr>
      <w:r w:rsidRPr="00072E1C">
        <w:rPr>
          <w:rFonts w:asciiTheme="minorHAnsi" w:hAnsiTheme="minorHAnsi"/>
          <w:sz w:val="20"/>
          <w:szCs w:val="20"/>
        </w:rPr>
        <w:t>Unemployment benefits must be verified through the local Unemployment Office</w:t>
      </w:r>
      <w:r w:rsidR="00817C4B">
        <w:rPr>
          <w:rFonts w:asciiTheme="minorHAnsi" w:hAnsiTheme="minorHAnsi"/>
          <w:sz w:val="20"/>
          <w:szCs w:val="20"/>
        </w:rPr>
        <w:t>.</w:t>
      </w:r>
    </w:p>
    <w:p w14:paraId="5E81750F" w14:textId="77777777" w:rsidR="007364FC" w:rsidRPr="00072E1C" w:rsidRDefault="007364FC" w:rsidP="00C64C2F">
      <w:pPr>
        <w:pStyle w:val="BodyTextIndent"/>
        <w:numPr>
          <w:ilvl w:val="0"/>
          <w:numId w:val="3"/>
        </w:numPr>
        <w:tabs>
          <w:tab w:val="clear" w:pos="0"/>
        </w:tabs>
        <w:rPr>
          <w:rFonts w:asciiTheme="minorHAnsi" w:hAnsiTheme="minorHAnsi"/>
          <w:sz w:val="20"/>
          <w:szCs w:val="20"/>
        </w:rPr>
      </w:pPr>
      <w:r w:rsidRPr="00072E1C">
        <w:rPr>
          <w:rFonts w:asciiTheme="minorHAnsi" w:hAnsiTheme="minorHAnsi"/>
          <w:sz w:val="20"/>
          <w:szCs w:val="20"/>
        </w:rPr>
        <w:t>If the amount in the savings account equals the monthly rent, times three, times the term of the lease.</w:t>
      </w:r>
    </w:p>
    <w:p w14:paraId="2774968B" w14:textId="77777777" w:rsidR="007364FC" w:rsidRPr="00072E1C" w:rsidRDefault="007364FC" w:rsidP="00C64C2F">
      <w:pPr>
        <w:numPr>
          <w:ilvl w:val="0"/>
          <w:numId w:val="4"/>
        </w:numPr>
        <w:tabs>
          <w:tab w:val="clear" w:pos="0"/>
        </w:tabs>
        <w:rPr>
          <w:rFonts w:asciiTheme="minorHAnsi" w:hAnsiTheme="minorHAnsi"/>
          <w:sz w:val="20"/>
          <w:szCs w:val="20"/>
        </w:rPr>
      </w:pPr>
      <w:r w:rsidRPr="00072E1C">
        <w:rPr>
          <w:rFonts w:asciiTheme="minorHAnsi" w:hAnsiTheme="minorHAnsi"/>
          <w:sz w:val="20"/>
          <w:szCs w:val="20"/>
        </w:rPr>
        <w:t>Any other source of income that can be proven to be received on a regular basis may be considered.</w:t>
      </w:r>
    </w:p>
    <w:p w14:paraId="3EC02105" w14:textId="5D1CAE66" w:rsidR="007364FC" w:rsidRPr="00072E1C" w:rsidRDefault="007364FC" w:rsidP="00C64C2F">
      <w:pPr>
        <w:numPr>
          <w:ilvl w:val="0"/>
          <w:numId w:val="5"/>
        </w:numPr>
        <w:tabs>
          <w:tab w:val="clear" w:pos="0"/>
        </w:tabs>
        <w:rPr>
          <w:rFonts w:asciiTheme="minorHAnsi" w:hAnsiTheme="minorHAnsi"/>
          <w:sz w:val="20"/>
          <w:szCs w:val="20"/>
        </w:rPr>
      </w:pPr>
      <w:r w:rsidRPr="00072E1C">
        <w:rPr>
          <w:rFonts w:asciiTheme="minorHAnsi" w:hAnsiTheme="minorHAnsi"/>
          <w:sz w:val="20"/>
          <w:szCs w:val="20"/>
        </w:rPr>
        <w:t>If verifiable rent-to-income earning</w:t>
      </w:r>
      <w:r w:rsidR="005119E2" w:rsidRPr="00072E1C">
        <w:rPr>
          <w:rFonts w:asciiTheme="minorHAnsi" w:hAnsiTheme="minorHAnsi"/>
          <w:sz w:val="20"/>
          <w:szCs w:val="20"/>
        </w:rPr>
        <w:t>s</w:t>
      </w:r>
      <w:r w:rsidRPr="00072E1C">
        <w:rPr>
          <w:rFonts w:asciiTheme="minorHAnsi" w:hAnsiTheme="minorHAnsi"/>
          <w:sz w:val="20"/>
          <w:szCs w:val="20"/>
        </w:rPr>
        <w:t xml:space="preserve"> ratio falls below our scoring guidelines, a </w:t>
      </w:r>
      <w:r w:rsidR="008B59C0">
        <w:rPr>
          <w:rFonts w:asciiTheme="minorHAnsi" w:hAnsiTheme="minorHAnsi"/>
          <w:sz w:val="20"/>
          <w:szCs w:val="20"/>
        </w:rPr>
        <w:t>guarantor</w:t>
      </w:r>
      <w:r w:rsidRPr="00072E1C">
        <w:rPr>
          <w:rFonts w:asciiTheme="minorHAnsi" w:hAnsiTheme="minorHAnsi"/>
          <w:sz w:val="20"/>
          <w:szCs w:val="20"/>
        </w:rPr>
        <w:t xml:space="preserve"> may be used to achieve approval, if the applicant</w:t>
      </w:r>
      <w:r w:rsidR="00D9643E" w:rsidRPr="00072E1C">
        <w:rPr>
          <w:rFonts w:asciiTheme="minorHAnsi" w:hAnsiTheme="minorHAnsi"/>
          <w:sz w:val="20"/>
          <w:szCs w:val="20"/>
        </w:rPr>
        <w:t xml:space="preserve"> chooses to do so.</w:t>
      </w:r>
      <w:r w:rsidR="008C1DA9" w:rsidRPr="00072E1C">
        <w:rPr>
          <w:rFonts w:asciiTheme="minorHAnsi" w:hAnsiTheme="minorHAnsi"/>
          <w:sz w:val="20"/>
          <w:szCs w:val="20"/>
        </w:rPr>
        <w:t xml:space="preserve"> </w:t>
      </w:r>
      <w:r w:rsidR="00D9643E" w:rsidRPr="00072E1C">
        <w:rPr>
          <w:rFonts w:asciiTheme="minorHAnsi" w:hAnsiTheme="minorHAnsi"/>
          <w:sz w:val="20"/>
          <w:szCs w:val="20"/>
        </w:rPr>
        <w:t xml:space="preserve">The </w:t>
      </w:r>
      <w:r w:rsidR="008B59C0">
        <w:rPr>
          <w:rFonts w:asciiTheme="minorHAnsi" w:hAnsiTheme="minorHAnsi"/>
          <w:sz w:val="20"/>
          <w:szCs w:val="20"/>
        </w:rPr>
        <w:t>guarantor</w:t>
      </w:r>
      <w:r w:rsidRPr="00072E1C">
        <w:rPr>
          <w:rFonts w:asciiTheme="minorHAnsi" w:hAnsiTheme="minorHAnsi"/>
          <w:sz w:val="20"/>
          <w:szCs w:val="20"/>
        </w:rPr>
        <w:t xml:space="preserve"> must complete a separate application and qualify under the same guidelines.</w:t>
      </w:r>
      <w:r w:rsidR="008C1DA9" w:rsidRPr="00072E1C">
        <w:rPr>
          <w:rFonts w:asciiTheme="minorHAnsi" w:hAnsiTheme="minorHAnsi"/>
          <w:sz w:val="20"/>
          <w:szCs w:val="20"/>
        </w:rPr>
        <w:t xml:space="preserve"> </w:t>
      </w:r>
      <w:r w:rsidR="008B59C0">
        <w:rPr>
          <w:rFonts w:asciiTheme="minorHAnsi" w:hAnsiTheme="minorHAnsi"/>
          <w:sz w:val="18"/>
          <w:szCs w:val="18"/>
        </w:rPr>
        <w:t>However, the guarantor must make at least five (5) times the monthly rent amount.</w:t>
      </w:r>
      <w:r w:rsidR="008C1DA9" w:rsidRPr="00072E1C">
        <w:rPr>
          <w:rFonts w:asciiTheme="minorHAnsi" w:hAnsiTheme="minorHAnsi"/>
          <w:sz w:val="20"/>
          <w:szCs w:val="20"/>
        </w:rPr>
        <w:t xml:space="preserve"> </w:t>
      </w:r>
      <w:proofErr w:type="gramStart"/>
      <w:r w:rsidR="0046085C" w:rsidRPr="00072E1C">
        <w:rPr>
          <w:rFonts w:asciiTheme="minorHAnsi" w:hAnsiTheme="minorHAnsi"/>
          <w:sz w:val="20"/>
          <w:szCs w:val="20"/>
        </w:rPr>
        <w:t>Any and all</w:t>
      </w:r>
      <w:proofErr w:type="gramEnd"/>
      <w:r w:rsidR="0046085C" w:rsidRPr="00072E1C">
        <w:rPr>
          <w:rFonts w:asciiTheme="minorHAnsi" w:hAnsiTheme="minorHAnsi"/>
          <w:sz w:val="20"/>
          <w:szCs w:val="20"/>
        </w:rPr>
        <w:t xml:space="preserve"> bankruptcy records will decline the </w:t>
      </w:r>
      <w:r w:rsidR="00E2147B">
        <w:rPr>
          <w:rFonts w:asciiTheme="minorHAnsi" w:hAnsiTheme="minorHAnsi"/>
          <w:sz w:val="20"/>
          <w:szCs w:val="20"/>
        </w:rPr>
        <w:t>guarantor</w:t>
      </w:r>
      <w:r w:rsidR="0046085C" w:rsidRPr="00072E1C">
        <w:rPr>
          <w:rFonts w:asciiTheme="minorHAnsi" w:hAnsiTheme="minorHAnsi"/>
          <w:sz w:val="20"/>
          <w:szCs w:val="20"/>
        </w:rPr>
        <w:t xml:space="preserve"> application.</w:t>
      </w:r>
    </w:p>
    <w:p w14:paraId="6BBFA471" w14:textId="77777777" w:rsidR="007364FC" w:rsidRPr="00072E1C" w:rsidRDefault="007364FC" w:rsidP="00C64C2F">
      <w:pPr>
        <w:pStyle w:val="ListParagraph"/>
        <w:numPr>
          <w:ilvl w:val="0"/>
          <w:numId w:val="2"/>
        </w:numPr>
        <w:tabs>
          <w:tab w:val="clear" w:pos="648"/>
        </w:tabs>
        <w:rPr>
          <w:rFonts w:asciiTheme="minorHAnsi" w:hAnsiTheme="minorHAnsi"/>
          <w:sz w:val="20"/>
          <w:szCs w:val="20"/>
        </w:rPr>
      </w:pPr>
      <w:r w:rsidRPr="00072E1C">
        <w:rPr>
          <w:rFonts w:asciiTheme="minorHAnsi" w:hAnsiTheme="minorHAnsi"/>
          <w:sz w:val="20"/>
          <w:szCs w:val="20"/>
        </w:rPr>
        <w:t>If verified debt on the consumer report exceeds the income thresholds needed to secure approval, the application will be denied for debt-to-income purposes.</w:t>
      </w:r>
      <w:r w:rsidR="008C1DA9" w:rsidRPr="00072E1C">
        <w:rPr>
          <w:rFonts w:asciiTheme="minorHAnsi" w:hAnsiTheme="minorHAnsi"/>
          <w:sz w:val="20"/>
          <w:szCs w:val="20"/>
        </w:rPr>
        <w:t xml:space="preserve"> </w:t>
      </w:r>
    </w:p>
    <w:p w14:paraId="321464E9" w14:textId="7CF0CCE1" w:rsidR="007364FC" w:rsidRPr="00072E1C" w:rsidRDefault="007364FC" w:rsidP="00C64C2F">
      <w:pPr>
        <w:pStyle w:val="ListParagraph"/>
        <w:numPr>
          <w:ilvl w:val="0"/>
          <w:numId w:val="2"/>
        </w:numPr>
        <w:tabs>
          <w:tab w:val="clear" w:pos="648"/>
        </w:tabs>
        <w:rPr>
          <w:rFonts w:asciiTheme="minorHAnsi" w:hAnsiTheme="minorHAnsi"/>
          <w:sz w:val="20"/>
          <w:szCs w:val="20"/>
        </w:rPr>
      </w:pPr>
      <w:r w:rsidRPr="00072E1C">
        <w:rPr>
          <w:rFonts w:asciiTheme="minorHAnsi" w:hAnsiTheme="minorHAnsi"/>
          <w:sz w:val="20"/>
          <w:szCs w:val="20"/>
        </w:rPr>
        <w:t>Insufficient income will result in denial.</w:t>
      </w:r>
      <w:r w:rsidR="008C1DA9" w:rsidRPr="00072E1C">
        <w:rPr>
          <w:rFonts w:asciiTheme="minorHAnsi" w:hAnsiTheme="minorHAnsi"/>
          <w:sz w:val="20"/>
          <w:szCs w:val="20"/>
        </w:rPr>
        <w:t xml:space="preserve"> </w:t>
      </w:r>
      <w:r w:rsidRPr="00072E1C">
        <w:rPr>
          <w:rFonts w:asciiTheme="minorHAnsi" w:hAnsiTheme="minorHAnsi"/>
          <w:sz w:val="20"/>
          <w:szCs w:val="20"/>
        </w:rPr>
        <w:t xml:space="preserve">The option for a </w:t>
      </w:r>
      <w:r w:rsidR="008B59C0">
        <w:rPr>
          <w:rFonts w:asciiTheme="minorHAnsi" w:hAnsiTheme="minorHAnsi"/>
          <w:sz w:val="20"/>
          <w:szCs w:val="20"/>
        </w:rPr>
        <w:t>guarantor</w:t>
      </w:r>
      <w:r w:rsidRPr="00072E1C">
        <w:rPr>
          <w:rFonts w:asciiTheme="minorHAnsi" w:hAnsiTheme="minorHAnsi"/>
          <w:sz w:val="20"/>
          <w:szCs w:val="20"/>
        </w:rPr>
        <w:t xml:space="preserve"> may be extended.</w:t>
      </w:r>
      <w:r w:rsidR="008C1DA9" w:rsidRPr="00072E1C">
        <w:rPr>
          <w:rFonts w:asciiTheme="minorHAnsi" w:hAnsiTheme="minorHAnsi"/>
          <w:sz w:val="20"/>
          <w:szCs w:val="20"/>
        </w:rPr>
        <w:t xml:space="preserve"> </w:t>
      </w:r>
    </w:p>
    <w:p w14:paraId="536FFAD0" w14:textId="77777777" w:rsidR="00873159" w:rsidRPr="00072E1C" w:rsidRDefault="00873159" w:rsidP="00C64C2F">
      <w:pPr>
        <w:pStyle w:val="ListParagraph"/>
        <w:ind w:left="648"/>
        <w:rPr>
          <w:rFonts w:asciiTheme="minorHAnsi" w:hAnsiTheme="minorHAnsi"/>
          <w:sz w:val="20"/>
          <w:szCs w:val="20"/>
        </w:rPr>
      </w:pPr>
    </w:p>
    <w:p w14:paraId="09F5D1EF" w14:textId="104047AA" w:rsidR="007E7FDE" w:rsidRPr="00072E1C" w:rsidRDefault="007364FC" w:rsidP="00C64C2F">
      <w:pPr>
        <w:numPr>
          <w:ilvl w:val="0"/>
          <w:numId w:val="1"/>
        </w:numPr>
        <w:tabs>
          <w:tab w:val="clear" w:pos="720"/>
        </w:tabs>
        <w:rPr>
          <w:rFonts w:asciiTheme="minorHAnsi" w:hAnsiTheme="minorHAnsi"/>
          <w:sz w:val="20"/>
          <w:szCs w:val="20"/>
        </w:rPr>
      </w:pPr>
      <w:r w:rsidRPr="00072E1C">
        <w:rPr>
          <w:rFonts w:asciiTheme="minorHAnsi" w:hAnsiTheme="minorHAnsi"/>
          <w:b/>
          <w:sz w:val="20"/>
          <w:szCs w:val="20"/>
        </w:rPr>
        <w:t>CREDIT</w:t>
      </w:r>
      <w:r w:rsidRPr="00072E1C">
        <w:rPr>
          <w:rFonts w:asciiTheme="minorHAnsi" w:hAnsiTheme="minorHAnsi"/>
          <w:sz w:val="20"/>
          <w:szCs w:val="20"/>
        </w:rPr>
        <w:t xml:space="preserve">: </w:t>
      </w:r>
      <w:r w:rsidR="00A05DBD" w:rsidRPr="00A05DBD">
        <w:rPr>
          <w:rFonts w:asciiTheme="minorHAnsi" w:hAnsiTheme="minorHAnsi"/>
          <w:sz w:val="20"/>
          <w:szCs w:val="20"/>
        </w:rPr>
        <w:t xml:space="preserve">All applicants will be subject to a credit check through Equifax, Experian and/or TransUnion. </w:t>
      </w:r>
      <w:r w:rsidR="00AA32EE" w:rsidRPr="009B2EBB">
        <w:rPr>
          <w:rFonts w:asciiTheme="minorHAnsi" w:hAnsiTheme="minorHAnsi" w:cstheme="minorHAnsi"/>
          <w:color w:val="000000"/>
          <w:sz w:val="20"/>
          <w:szCs w:val="20"/>
        </w:rPr>
        <w:t>Applications will be denied if credit history is found unsatisfactory or insufficient.</w:t>
      </w:r>
      <w:r w:rsidR="00AA32EE" w:rsidRPr="00E1793A">
        <w:rPr>
          <w:rFonts w:ascii="Calibri" w:hAnsi="Calibri" w:cs="Calibri"/>
          <w:sz w:val="20"/>
          <w:szCs w:val="20"/>
        </w:rPr>
        <w:t xml:space="preserve"> </w:t>
      </w:r>
      <w:r w:rsidR="00AA32EE">
        <w:rPr>
          <w:rFonts w:ascii="Calibri" w:hAnsi="Calibri" w:cs="Calibri"/>
          <w:sz w:val="20"/>
          <w:szCs w:val="20"/>
        </w:rPr>
        <w:t xml:space="preserve">A guarantor </w:t>
      </w:r>
      <w:r w:rsidR="00AA32EE" w:rsidRPr="00E1793A">
        <w:rPr>
          <w:rFonts w:ascii="Calibri" w:hAnsi="Calibri" w:cs="Calibri"/>
          <w:sz w:val="20"/>
          <w:szCs w:val="20"/>
        </w:rPr>
        <w:t xml:space="preserve">will be required </w:t>
      </w:r>
      <w:proofErr w:type="gramStart"/>
      <w:r w:rsidR="00AA32EE" w:rsidRPr="00E1793A">
        <w:rPr>
          <w:rFonts w:ascii="Calibri" w:hAnsi="Calibri" w:cs="Calibri"/>
          <w:sz w:val="20"/>
          <w:szCs w:val="20"/>
        </w:rPr>
        <w:t>in order to</w:t>
      </w:r>
      <w:proofErr w:type="gramEnd"/>
      <w:r w:rsidR="00AA32EE" w:rsidRPr="00E1793A">
        <w:rPr>
          <w:rFonts w:ascii="Calibri" w:hAnsi="Calibri" w:cs="Calibri"/>
          <w:sz w:val="20"/>
          <w:szCs w:val="20"/>
        </w:rPr>
        <w:t xml:space="preserve"> achieve approval status for reports that return as a thin file or lack of active credit.</w:t>
      </w:r>
      <w:r w:rsidR="00A05DBD">
        <w:rPr>
          <w:rFonts w:ascii="Calibri" w:hAnsi="Calibri" w:cs="Calibri"/>
        </w:rPr>
        <w:t xml:space="preserve"> </w:t>
      </w:r>
      <w:r w:rsidR="0022045F" w:rsidRPr="00C05A23">
        <w:rPr>
          <w:rFonts w:asciiTheme="minorHAnsi" w:hAnsiTheme="minorHAnsi"/>
          <w:sz w:val="20"/>
          <w:szCs w:val="20"/>
        </w:rPr>
        <w:t xml:space="preserve">If an applicant has filed bankruptcy within the past 5 years, and the discharge has not occurred, the application will be denied.  If the applicant screening reveals a discharged bankruptcy within the past 5 years, the application will be </w:t>
      </w:r>
      <w:r w:rsidR="0022045F">
        <w:rPr>
          <w:rFonts w:asciiTheme="minorHAnsi" w:hAnsiTheme="minorHAnsi"/>
          <w:sz w:val="20"/>
          <w:szCs w:val="20"/>
        </w:rPr>
        <w:t>approved.</w:t>
      </w:r>
      <w:r w:rsidR="0022045F" w:rsidRPr="00C05A23">
        <w:rPr>
          <w:rFonts w:asciiTheme="minorHAnsi" w:hAnsiTheme="minorHAnsi"/>
          <w:sz w:val="20"/>
          <w:szCs w:val="20"/>
        </w:rPr>
        <w:t xml:space="preserve"> The screening search also verifies debt-to-income ratios and will deny applications where debt exceeds acceptable income thresholds as it relates to rent-to-income requirements.  The presence of a public record on a consumer report negatively impacts the overall score</w:t>
      </w:r>
      <w:r w:rsidR="007E7FDE" w:rsidRPr="00072E1C">
        <w:rPr>
          <w:rFonts w:asciiTheme="minorHAnsi" w:hAnsiTheme="minorHAnsi"/>
          <w:sz w:val="20"/>
          <w:szCs w:val="20"/>
        </w:rPr>
        <w:t>.</w:t>
      </w:r>
      <w:r w:rsidR="008C1DA9" w:rsidRPr="00072E1C">
        <w:rPr>
          <w:rFonts w:asciiTheme="minorHAnsi" w:hAnsiTheme="minorHAnsi"/>
          <w:sz w:val="20"/>
          <w:szCs w:val="20"/>
        </w:rPr>
        <w:t xml:space="preserve"> </w:t>
      </w:r>
      <w:r w:rsidRPr="00072E1C">
        <w:rPr>
          <w:rFonts w:asciiTheme="minorHAnsi" w:hAnsiTheme="minorHAnsi"/>
          <w:sz w:val="20"/>
          <w:szCs w:val="20"/>
        </w:rPr>
        <w:t xml:space="preserve"> </w:t>
      </w:r>
      <w:r w:rsidR="007E7FDE" w:rsidRPr="00072E1C">
        <w:rPr>
          <w:rFonts w:asciiTheme="minorHAnsi" w:hAnsiTheme="minorHAnsi"/>
          <w:sz w:val="20"/>
          <w:szCs w:val="20"/>
        </w:rPr>
        <w:br/>
      </w:r>
    </w:p>
    <w:p w14:paraId="36838588" w14:textId="76007621" w:rsidR="007E7FDE" w:rsidRPr="00072E1C" w:rsidRDefault="007364FC" w:rsidP="00C64C2F">
      <w:pPr>
        <w:numPr>
          <w:ilvl w:val="0"/>
          <w:numId w:val="1"/>
        </w:numPr>
        <w:tabs>
          <w:tab w:val="clear" w:pos="720"/>
        </w:tabs>
        <w:rPr>
          <w:rFonts w:asciiTheme="minorHAnsi" w:hAnsiTheme="minorHAnsi"/>
          <w:sz w:val="20"/>
          <w:szCs w:val="20"/>
        </w:rPr>
      </w:pPr>
      <w:r w:rsidRPr="00072E1C">
        <w:rPr>
          <w:rFonts w:asciiTheme="minorHAnsi" w:hAnsiTheme="minorHAnsi"/>
          <w:b/>
          <w:sz w:val="20"/>
          <w:szCs w:val="20"/>
        </w:rPr>
        <w:t>RENTAL/MORTGAGE HISTORY</w:t>
      </w:r>
      <w:r w:rsidRPr="00072E1C">
        <w:rPr>
          <w:rFonts w:asciiTheme="minorHAnsi" w:hAnsiTheme="minorHAnsi"/>
          <w:sz w:val="20"/>
          <w:szCs w:val="20"/>
        </w:rPr>
        <w:t xml:space="preserve">: </w:t>
      </w:r>
      <w:r w:rsidR="0022045F" w:rsidRPr="00C05A23">
        <w:rPr>
          <w:rFonts w:asciiTheme="minorHAnsi" w:hAnsiTheme="minorHAnsi"/>
          <w:sz w:val="20"/>
          <w:szCs w:val="20"/>
        </w:rPr>
        <w:t>Rental/Mortgage history will be based on the length of history as well as the pay record. An eviction, skip or money owed to a current or previous landlord will be denied, unless paid in full</w:t>
      </w:r>
      <w:r w:rsidR="0022045F">
        <w:rPr>
          <w:rFonts w:asciiTheme="minorHAnsi" w:hAnsiTheme="minorHAnsi"/>
          <w:sz w:val="20"/>
          <w:szCs w:val="20"/>
        </w:rPr>
        <w:t>.</w:t>
      </w:r>
      <w:r w:rsidR="0022045F" w:rsidRPr="00C05A23">
        <w:rPr>
          <w:rFonts w:asciiTheme="minorHAnsi" w:hAnsiTheme="minorHAnsi"/>
          <w:sz w:val="20"/>
          <w:szCs w:val="20"/>
        </w:rPr>
        <w:t xml:space="preserve">  </w:t>
      </w:r>
      <w:r w:rsidR="0022045F">
        <w:rPr>
          <w:rFonts w:asciiTheme="minorHAnsi" w:hAnsiTheme="minorHAnsi"/>
          <w:sz w:val="20"/>
          <w:szCs w:val="20"/>
        </w:rPr>
        <w:t>Applications reflecting a f</w:t>
      </w:r>
      <w:r w:rsidR="0022045F" w:rsidRPr="00C05A23">
        <w:rPr>
          <w:rFonts w:asciiTheme="minorHAnsi" w:hAnsiTheme="minorHAnsi"/>
          <w:sz w:val="20"/>
          <w:szCs w:val="20"/>
        </w:rPr>
        <w:t>oreclosure</w:t>
      </w:r>
      <w:r w:rsidR="0022045F">
        <w:rPr>
          <w:rFonts w:asciiTheme="minorHAnsi" w:hAnsiTheme="minorHAnsi"/>
          <w:sz w:val="20"/>
          <w:szCs w:val="20"/>
        </w:rPr>
        <w:t>(</w:t>
      </w:r>
      <w:r w:rsidR="0022045F" w:rsidRPr="00C05A23">
        <w:rPr>
          <w:rFonts w:asciiTheme="minorHAnsi" w:hAnsiTheme="minorHAnsi"/>
          <w:sz w:val="20"/>
          <w:szCs w:val="20"/>
        </w:rPr>
        <w:t>s</w:t>
      </w:r>
      <w:r w:rsidR="0022045F">
        <w:rPr>
          <w:rFonts w:asciiTheme="minorHAnsi" w:hAnsiTheme="minorHAnsi"/>
          <w:sz w:val="20"/>
          <w:szCs w:val="20"/>
        </w:rPr>
        <w:t>)</w:t>
      </w:r>
      <w:r w:rsidR="0022045F" w:rsidRPr="00C05A23">
        <w:rPr>
          <w:rFonts w:asciiTheme="minorHAnsi" w:hAnsiTheme="minorHAnsi"/>
          <w:sz w:val="20"/>
          <w:szCs w:val="20"/>
        </w:rPr>
        <w:t xml:space="preserve"> will be denied</w:t>
      </w:r>
      <w:r w:rsidR="0022045F">
        <w:rPr>
          <w:rFonts w:asciiTheme="minorHAnsi" w:hAnsiTheme="minorHAnsi"/>
          <w:sz w:val="20"/>
          <w:szCs w:val="20"/>
        </w:rPr>
        <w:t>.</w:t>
      </w:r>
      <w:r w:rsidR="0022045F" w:rsidRPr="00C05A23">
        <w:rPr>
          <w:rFonts w:asciiTheme="minorHAnsi" w:hAnsiTheme="minorHAnsi"/>
          <w:sz w:val="20"/>
          <w:szCs w:val="20"/>
        </w:rPr>
        <w:t xml:space="preserve">  Applicants with reported rental debts to any Westwood Residential or Taylor Land Two managed property will be denied unless the balance owed is paid in full.  Any person</w:t>
      </w:r>
      <w:r w:rsidR="006B5639">
        <w:rPr>
          <w:rFonts w:asciiTheme="minorHAnsi" w:hAnsiTheme="minorHAnsi"/>
          <w:sz w:val="20"/>
          <w:szCs w:val="20"/>
        </w:rPr>
        <w:t>(</w:t>
      </w:r>
      <w:r w:rsidR="0022045F" w:rsidRPr="00C05A23">
        <w:rPr>
          <w:rFonts w:asciiTheme="minorHAnsi" w:hAnsiTheme="minorHAnsi"/>
          <w:sz w:val="20"/>
          <w:szCs w:val="20"/>
        </w:rPr>
        <w:t>s</w:t>
      </w:r>
      <w:r w:rsidR="006B5639">
        <w:rPr>
          <w:rFonts w:asciiTheme="minorHAnsi" w:hAnsiTheme="minorHAnsi"/>
          <w:sz w:val="20"/>
          <w:szCs w:val="20"/>
        </w:rPr>
        <w:t>)</w:t>
      </w:r>
      <w:r w:rsidR="0022045F" w:rsidRPr="00C05A23">
        <w:rPr>
          <w:rFonts w:asciiTheme="minorHAnsi" w:hAnsiTheme="minorHAnsi"/>
          <w:sz w:val="20"/>
          <w:szCs w:val="20"/>
        </w:rPr>
        <w:t xml:space="preserve"> subject to eviction or mutual termination for non-rent related breach of lease at a Westwood Residential/Taylor Land Two managed property will be denied.  The applicant will bear the burden of proof if making disputes against the credit report</w:t>
      </w:r>
      <w:r w:rsidR="0022045F">
        <w:rPr>
          <w:rFonts w:asciiTheme="minorHAnsi" w:hAnsiTheme="minorHAnsi"/>
          <w:sz w:val="20"/>
          <w:szCs w:val="20"/>
        </w:rPr>
        <w:t>.</w:t>
      </w:r>
      <w:r w:rsidR="008C1DA9" w:rsidRPr="00072E1C">
        <w:rPr>
          <w:rFonts w:asciiTheme="minorHAnsi" w:hAnsiTheme="minorHAnsi"/>
          <w:sz w:val="20"/>
          <w:szCs w:val="20"/>
        </w:rPr>
        <w:t xml:space="preserve"> </w:t>
      </w:r>
    </w:p>
    <w:p w14:paraId="6EA685B9" w14:textId="77777777" w:rsidR="007364FC" w:rsidRPr="00072E1C" w:rsidRDefault="007364FC" w:rsidP="00C64C2F">
      <w:pPr>
        <w:ind w:left="288"/>
        <w:rPr>
          <w:rFonts w:asciiTheme="minorHAnsi" w:hAnsiTheme="minorHAnsi"/>
          <w:sz w:val="20"/>
          <w:szCs w:val="20"/>
        </w:rPr>
      </w:pPr>
    </w:p>
    <w:p w14:paraId="023DDF7C" w14:textId="78A909EC" w:rsidR="008E41BC" w:rsidRDefault="006B5639" w:rsidP="008E41BC">
      <w:pPr>
        <w:numPr>
          <w:ilvl w:val="0"/>
          <w:numId w:val="1"/>
        </w:numPr>
        <w:tabs>
          <w:tab w:val="num" w:pos="360"/>
        </w:tabs>
        <w:rPr>
          <w:rFonts w:asciiTheme="minorHAnsi" w:hAnsiTheme="minorHAnsi"/>
          <w:sz w:val="20"/>
          <w:szCs w:val="20"/>
        </w:rPr>
      </w:pPr>
      <w:r>
        <w:rPr>
          <w:rFonts w:asciiTheme="minorHAnsi" w:hAnsiTheme="minorHAnsi"/>
          <w:b/>
          <w:sz w:val="20"/>
          <w:szCs w:val="20"/>
        </w:rPr>
        <w:t>BACKGROUND CHECK</w:t>
      </w:r>
      <w:r w:rsidR="008E41BC" w:rsidRPr="00C05A23">
        <w:rPr>
          <w:rFonts w:asciiTheme="minorHAnsi" w:hAnsiTheme="minorHAnsi"/>
          <w:sz w:val="20"/>
          <w:szCs w:val="20"/>
        </w:rPr>
        <w:t xml:space="preserve">: </w:t>
      </w:r>
      <w:r w:rsidR="008E41BC">
        <w:rPr>
          <w:rFonts w:asciiTheme="minorHAnsi" w:hAnsiTheme="minorHAnsi"/>
          <w:sz w:val="20"/>
          <w:szCs w:val="20"/>
        </w:rPr>
        <w:t xml:space="preserve">A background check of sex offender registries will be performed on all individuals age 18 and over. Applicants registered on a state or federal sex offender registry could be declined. If an applicant does appear on a state or federal sex offender registry, additional information may need to be obtained </w:t>
      </w:r>
      <w:proofErr w:type="gramStart"/>
      <w:r w:rsidR="008E41BC">
        <w:rPr>
          <w:rFonts w:asciiTheme="minorHAnsi" w:hAnsiTheme="minorHAnsi"/>
          <w:sz w:val="20"/>
          <w:szCs w:val="20"/>
        </w:rPr>
        <w:t>in order to</w:t>
      </w:r>
      <w:proofErr w:type="gramEnd"/>
      <w:r w:rsidR="008E41BC">
        <w:rPr>
          <w:rFonts w:asciiTheme="minorHAnsi" w:hAnsiTheme="minorHAnsi"/>
          <w:sz w:val="20"/>
          <w:szCs w:val="20"/>
        </w:rPr>
        <w:t xml:space="preserve"> make an assessment.</w:t>
      </w:r>
    </w:p>
    <w:p w14:paraId="103630EE" w14:textId="77777777" w:rsidR="00AE04C5" w:rsidRPr="00912248" w:rsidRDefault="00AE04C5" w:rsidP="00AE04C5">
      <w:pPr>
        <w:ind w:left="288"/>
        <w:rPr>
          <w:rFonts w:asciiTheme="minorHAnsi" w:hAnsiTheme="minorHAnsi"/>
          <w:sz w:val="16"/>
          <w:szCs w:val="16"/>
        </w:rPr>
      </w:pPr>
    </w:p>
    <w:p w14:paraId="09FFCF10" w14:textId="657E0A82" w:rsidR="00AE04C5" w:rsidRDefault="00AE04C5" w:rsidP="00AE04C5">
      <w:pPr>
        <w:ind w:left="288"/>
        <w:rPr>
          <w:rFonts w:asciiTheme="minorHAnsi" w:hAnsiTheme="minorHAnsi"/>
          <w:sz w:val="20"/>
          <w:szCs w:val="20"/>
        </w:rPr>
      </w:pPr>
      <w:r>
        <w:rPr>
          <w:rFonts w:asciiTheme="minorHAnsi" w:hAnsiTheme="minorHAnsi"/>
          <w:sz w:val="20"/>
          <w:szCs w:val="20"/>
        </w:rPr>
        <w:lastRenderedPageBreak/>
        <w:t xml:space="preserve">Remember that the criminal history requirement does not constitute a guarantee or representation that those residents or occupants residing at the apartment have not been convicted of any of the </w:t>
      </w:r>
      <w:r w:rsidR="006B5639">
        <w:rPr>
          <w:rFonts w:asciiTheme="minorHAnsi" w:hAnsiTheme="minorHAnsi"/>
          <w:sz w:val="20"/>
          <w:szCs w:val="20"/>
        </w:rPr>
        <w:t>above-mentioned</w:t>
      </w:r>
      <w:r>
        <w:rPr>
          <w:rFonts w:asciiTheme="minorHAnsi" w:hAnsiTheme="minorHAnsi"/>
          <w:sz w:val="20"/>
          <w:szCs w:val="20"/>
        </w:rPr>
        <w:t xml:space="preserve"> crimes. Additionally, our ability to verify this information is limited to the information made available to us by the resident credit reporting services used.</w:t>
      </w:r>
    </w:p>
    <w:p w14:paraId="0F587455" w14:textId="77777777" w:rsidR="007364FC" w:rsidRPr="00072E1C" w:rsidRDefault="007364FC" w:rsidP="00AE04C5">
      <w:pPr>
        <w:rPr>
          <w:rFonts w:asciiTheme="minorHAnsi" w:hAnsiTheme="minorHAnsi"/>
          <w:sz w:val="20"/>
          <w:szCs w:val="20"/>
        </w:rPr>
      </w:pPr>
    </w:p>
    <w:p w14:paraId="4F739E2B" w14:textId="7E27D47C" w:rsidR="00072E1C" w:rsidRPr="00072E1C" w:rsidRDefault="00072E1C" w:rsidP="00072E1C">
      <w:pPr>
        <w:pStyle w:val="ListParagraph"/>
        <w:numPr>
          <w:ilvl w:val="0"/>
          <w:numId w:val="1"/>
        </w:numPr>
        <w:rPr>
          <w:rFonts w:asciiTheme="minorHAnsi" w:hAnsiTheme="minorHAnsi"/>
          <w:sz w:val="20"/>
          <w:szCs w:val="20"/>
        </w:rPr>
      </w:pPr>
      <w:r w:rsidRPr="00072E1C">
        <w:rPr>
          <w:rFonts w:asciiTheme="minorHAnsi" w:hAnsiTheme="minorHAnsi"/>
          <w:b/>
          <w:sz w:val="20"/>
          <w:szCs w:val="20"/>
        </w:rPr>
        <w:t>STUDENT POLICY</w:t>
      </w:r>
      <w:r w:rsidRPr="00072E1C">
        <w:rPr>
          <w:rFonts w:asciiTheme="minorHAnsi" w:hAnsiTheme="minorHAnsi"/>
          <w:sz w:val="20"/>
          <w:szCs w:val="20"/>
        </w:rPr>
        <w:t xml:space="preserve">: </w:t>
      </w:r>
      <w:r w:rsidR="0022045F" w:rsidRPr="00987302">
        <w:rPr>
          <w:rFonts w:asciiTheme="minorHAnsi" w:hAnsiTheme="minorHAnsi"/>
          <w:sz w:val="20"/>
          <w:szCs w:val="20"/>
        </w:rPr>
        <w:t xml:space="preserve">Applications with one or more lease holding residents that are enrolled in school or university on a half-time or more basis will be required to secure a </w:t>
      </w:r>
      <w:r w:rsidR="008B59C0">
        <w:rPr>
          <w:rFonts w:asciiTheme="minorHAnsi" w:hAnsiTheme="minorHAnsi"/>
          <w:sz w:val="20"/>
          <w:szCs w:val="20"/>
        </w:rPr>
        <w:t>guarantor</w:t>
      </w:r>
      <w:r w:rsidR="0022045F" w:rsidRPr="00987302">
        <w:rPr>
          <w:rFonts w:asciiTheme="minorHAnsi" w:hAnsiTheme="minorHAnsi"/>
          <w:sz w:val="20"/>
          <w:szCs w:val="20"/>
        </w:rPr>
        <w:t xml:space="preserve"> or lease guarantor </w:t>
      </w:r>
      <w:proofErr w:type="gramStart"/>
      <w:r w:rsidR="0022045F" w:rsidRPr="00987302">
        <w:rPr>
          <w:rFonts w:asciiTheme="minorHAnsi" w:hAnsiTheme="minorHAnsi"/>
          <w:sz w:val="20"/>
          <w:szCs w:val="20"/>
        </w:rPr>
        <w:t>in order to</w:t>
      </w:r>
      <w:proofErr w:type="gramEnd"/>
      <w:r w:rsidR="0022045F" w:rsidRPr="00987302">
        <w:rPr>
          <w:rFonts w:asciiTheme="minorHAnsi" w:hAnsiTheme="minorHAnsi"/>
          <w:sz w:val="20"/>
          <w:szCs w:val="20"/>
        </w:rPr>
        <w:t xml:space="preserve"> achieve approval</w:t>
      </w:r>
      <w:r w:rsidR="0022045F">
        <w:rPr>
          <w:rFonts w:asciiTheme="minorHAnsi" w:hAnsiTheme="minorHAnsi"/>
          <w:sz w:val="20"/>
          <w:szCs w:val="20"/>
        </w:rPr>
        <w:t>.</w:t>
      </w:r>
    </w:p>
    <w:p w14:paraId="2187C7CA" w14:textId="77777777" w:rsidR="007364FC" w:rsidRPr="00072E1C" w:rsidRDefault="007364FC" w:rsidP="00C64C2F">
      <w:pPr>
        <w:rPr>
          <w:rFonts w:asciiTheme="minorHAnsi" w:hAnsiTheme="minorHAnsi"/>
          <w:sz w:val="20"/>
          <w:szCs w:val="20"/>
        </w:rPr>
      </w:pPr>
    </w:p>
    <w:p w14:paraId="710866FF" w14:textId="77777777" w:rsidR="00072E1C" w:rsidRDefault="007364FC" w:rsidP="00C64C2F">
      <w:pPr>
        <w:numPr>
          <w:ilvl w:val="0"/>
          <w:numId w:val="1"/>
        </w:numPr>
        <w:tabs>
          <w:tab w:val="clear" w:pos="720"/>
        </w:tabs>
        <w:rPr>
          <w:rFonts w:asciiTheme="minorHAnsi" w:hAnsiTheme="minorHAnsi"/>
          <w:sz w:val="20"/>
          <w:szCs w:val="20"/>
        </w:rPr>
      </w:pPr>
      <w:r w:rsidRPr="00072E1C">
        <w:rPr>
          <w:rFonts w:asciiTheme="minorHAnsi" w:hAnsiTheme="minorHAnsi"/>
          <w:b/>
          <w:sz w:val="20"/>
          <w:szCs w:val="20"/>
        </w:rPr>
        <w:t>OCCUPANCY GUIDELINES</w:t>
      </w:r>
      <w:r w:rsidRPr="00072E1C">
        <w:rPr>
          <w:rFonts w:asciiTheme="minorHAnsi" w:hAnsiTheme="minorHAnsi"/>
          <w:sz w:val="20"/>
          <w:szCs w:val="20"/>
        </w:rPr>
        <w:t>:</w:t>
      </w:r>
      <w:r w:rsidR="008C1DA9" w:rsidRPr="00072E1C">
        <w:rPr>
          <w:rFonts w:asciiTheme="minorHAnsi" w:hAnsiTheme="minorHAnsi"/>
          <w:sz w:val="20"/>
          <w:szCs w:val="20"/>
        </w:rPr>
        <w:t xml:space="preserve"> </w:t>
      </w:r>
      <w:r w:rsidRPr="00072E1C">
        <w:rPr>
          <w:rFonts w:asciiTheme="minorHAnsi" w:hAnsiTheme="minorHAnsi"/>
          <w:sz w:val="20"/>
          <w:szCs w:val="20"/>
        </w:rPr>
        <w:t>The following Occupancy guidelines are as follows:</w:t>
      </w:r>
    </w:p>
    <w:tbl>
      <w:tblPr>
        <w:tblW w:w="6307" w:type="dxa"/>
        <w:tblCellSpacing w:w="15" w:type="dxa"/>
        <w:tblInd w:w="330"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3602"/>
        <w:gridCol w:w="2705"/>
      </w:tblGrid>
      <w:tr w:rsidR="00072E1C" w:rsidRPr="00072E1C" w14:paraId="49803DDD" w14:textId="77777777" w:rsidTr="00912248">
        <w:trPr>
          <w:trHeight w:val="35"/>
          <w:tblCellSpacing w:w="15" w:type="dxa"/>
        </w:trPr>
        <w:tc>
          <w:tcPr>
            <w:tcW w:w="3557" w:type="dxa"/>
            <w:tcBorders>
              <w:top w:val="outset" w:sz="6" w:space="0" w:color="auto"/>
              <w:left w:val="outset" w:sz="6" w:space="0" w:color="auto"/>
              <w:bottom w:val="outset" w:sz="6" w:space="0" w:color="auto"/>
              <w:right w:val="outset" w:sz="6" w:space="0" w:color="auto"/>
            </w:tcBorders>
            <w:vAlign w:val="center"/>
            <w:hideMark/>
          </w:tcPr>
          <w:p w14:paraId="6A6443F0" w14:textId="77777777" w:rsidR="00072E1C" w:rsidRPr="00072E1C" w:rsidRDefault="00072E1C" w:rsidP="008E6161">
            <w:pPr>
              <w:ind w:left="225" w:hanging="225"/>
              <w:rPr>
                <w:rFonts w:asciiTheme="minorHAnsi" w:hAnsiTheme="minorHAnsi"/>
                <w:color w:val="000000"/>
                <w:sz w:val="20"/>
                <w:szCs w:val="20"/>
              </w:rPr>
            </w:pPr>
            <w:r w:rsidRPr="00072E1C">
              <w:rPr>
                <w:rFonts w:asciiTheme="minorHAnsi" w:hAnsiTheme="minorHAnsi"/>
                <w:color w:val="000000"/>
                <w:sz w:val="20"/>
                <w:szCs w:val="20"/>
              </w:rPr>
              <w:t>Efficiency and One bedroom/One Bath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F3F68" w14:textId="77777777" w:rsidR="00072E1C" w:rsidRPr="00072E1C" w:rsidRDefault="00072E1C" w:rsidP="008E6161">
            <w:pPr>
              <w:rPr>
                <w:rFonts w:asciiTheme="minorHAnsi" w:hAnsiTheme="minorHAnsi"/>
                <w:color w:val="000000"/>
                <w:sz w:val="20"/>
                <w:szCs w:val="20"/>
              </w:rPr>
            </w:pPr>
            <w:r w:rsidRPr="00072E1C">
              <w:rPr>
                <w:rFonts w:asciiTheme="minorHAnsi" w:hAnsiTheme="minorHAnsi"/>
                <w:color w:val="000000"/>
                <w:sz w:val="20"/>
                <w:szCs w:val="20"/>
              </w:rPr>
              <w:t>No more than two persons</w:t>
            </w:r>
          </w:p>
        </w:tc>
      </w:tr>
      <w:tr w:rsidR="00072E1C" w:rsidRPr="00072E1C" w14:paraId="01B5488B" w14:textId="77777777" w:rsidTr="00912248">
        <w:trPr>
          <w:trHeight w:val="34"/>
          <w:tblCellSpacing w:w="15" w:type="dxa"/>
        </w:trPr>
        <w:tc>
          <w:tcPr>
            <w:tcW w:w="3557" w:type="dxa"/>
            <w:tcBorders>
              <w:top w:val="outset" w:sz="6" w:space="0" w:color="auto"/>
              <w:left w:val="outset" w:sz="6" w:space="0" w:color="auto"/>
              <w:bottom w:val="outset" w:sz="6" w:space="0" w:color="auto"/>
              <w:right w:val="outset" w:sz="6" w:space="0" w:color="auto"/>
            </w:tcBorders>
            <w:vAlign w:val="center"/>
            <w:hideMark/>
          </w:tcPr>
          <w:p w14:paraId="57D23341" w14:textId="77777777" w:rsidR="00072E1C" w:rsidRPr="00072E1C" w:rsidRDefault="00072E1C" w:rsidP="008E6161">
            <w:pPr>
              <w:rPr>
                <w:rFonts w:asciiTheme="minorHAnsi" w:hAnsiTheme="minorHAnsi"/>
                <w:color w:val="000000"/>
                <w:sz w:val="20"/>
                <w:szCs w:val="20"/>
              </w:rPr>
            </w:pPr>
            <w:r w:rsidRPr="00072E1C">
              <w:rPr>
                <w:rFonts w:asciiTheme="minorHAnsi" w:hAnsiTheme="minorHAnsi"/>
                <w:color w:val="000000"/>
                <w:sz w:val="20"/>
                <w:szCs w:val="20"/>
              </w:rPr>
              <w:t>Two bedroom/One or Two Bath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53B00" w14:textId="77777777" w:rsidR="00072E1C" w:rsidRPr="00072E1C" w:rsidRDefault="00072E1C" w:rsidP="008E6161">
            <w:pPr>
              <w:rPr>
                <w:rFonts w:asciiTheme="minorHAnsi" w:hAnsiTheme="minorHAnsi"/>
                <w:color w:val="000000"/>
                <w:sz w:val="20"/>
                <w:szCs w:val="20"/>
              </w:rPr>
            </w:pPr>
            <w:r w:rsidRPr="00072E1C">
              <w:rPr>
                <w:rFonts w:asciiTheme="minorHAnsi" w:hAnsiTheme="minorHAnsi"/>
                <w:color w:val="000000"/>
                <w:sz w:val="20"/>
                <w:szCs w:val="20"/>
              </w:rPr>
              <w:t>No more than five persons</w:t>
            </w:r>
          </w:p>
        </w:tc>
      </w:tr>
    </w:tbl>
    <w:p w14:paraId="22ACB24C" w14:textId="77777777" w:rsidR="00FC76C2" w:rsidRDefault="00FC76C2" w:rsidP="00072E1C">
      <w:pPr>
        <w:ind w:left="288"/>
        <w:rPr>
          <w:rFonts w:asciiTheme="minorHAnsi" w:hAnsiTheme="minorHAnsi"/>
          <w:sz w:val="20"/>
          <w:szCs w:val="20"/>
        </w:rPr>
      </w:pPr>
    </w:p>
    <w:p w14:paraId="5640D11F" w14:textId="77777777" w:rsidR="007364FC" w:rsidRPr="00072E1C" w:rsidRDefault="007364FC" w:rsidP="00C64C2F">
      <w:pPr>
        <w:pStyle w:val="ListParagraph"/>
        <w:numPr>
          <w:ilvl w:val="0"/>
          <w:numId w:val="1"/>
        </w:numPr>
        <w:tabs>
          <w:tab w:val="clear" w:pos="720"/>
        </w:tabs>
        <w:rPr>
          <w:rFonts w:asciiTheme="minorHAnsi" w:hAnsiTheme="minorHAnsi"/>
          <w:sz w:val="20"/>
          <w:szCs w:val="20"/>
        </w:rPr>
      </w:pPr>
      <w:r w:rsidRPr="00072E1C">
        <w:rPr>
          <w:rFonts w:asciiTheme="minorHAnsi" w:hAnsiTheme="minorHAnsi"/>
          <w:b/>
          <w:sz w:val="20"/>
          <w:szCs w:val="20"/>
        </w:rPr>
        <w:t>ADDITIONAL CONSIDERATIONS:</w:t>
      </w:r>
      <w:r w:rsidR="008C1DA9" w:rsidRPr="00072E1C">
        <w:rPr>
          <w:rFonts w:asciiTheme="minorHAnsi" w:hAnsiTheme="minorHAnsi"/>
          <w:b/>
          <w:sz w:val="20"/>
          <w:szCs w:val="20"/>
        </w:rPr>
        <w:t xml:space="preserve"> </w:t>
      </w:r>
      <w:r w:rsidRPr="00072E1C">
        <w:rPr>
          <w:rFonts w:asciiTheme="minorHAnsi" w:hAnsiTheme="minorHAnsi"/>
          <w:sz w:val="20"/>
          <w:szCs w:val="20"/>
        </w:rPr>
        <w:t>The following additional considerations may determine the outcome of the application:</w:t>
      </w:r>
    </w:p>
    <w:p w14:paraId="0FA375FF" w14:textId="77777777" w:rsidR="0022045F" w:rsidRPr="00C05A23" w:rsidRDefault="0022045F" w:rsidP="0022045F">
      <w:pPr>
        <w:pStyle w:val="ListParagraph"/>
        <w:numPr>
          <w:ilvl w:val="0"/>
          <w:numId w:val="6"/>
        </w:numPr>
        <w:rPr>
          <w:rFonts w:asciiTheme="minorHAnsi" w:hAnsiTheme="minorHAnsi"/>
          <w:sz w:val="20"/>
          <w:szCs w:val="20"/>
        </w:rPr>
      </w:pPr>
      <w:r w:rsidRPr="00A87B14">
        <w:rPr>
          <w:rFonts w:asciiTheme="minorHAnsi" w:hAnsiTheme="minorHAnsi"/>
          <w:sz w:val="20"/>
          <w:szCs w:val="20"/>
          <w:u w:val="single"/>
        </w:rPr>
        <w:t>Unverified Information</w:t>
      </w:r>
      <w:r w:rsidRPr="00C05A23">
        <w:rPr>
          <w:rFonts w:asciiTheme="minorHAnsi" w:hAnsiTheme="minorHAnsi"/>
          <w:sz w:val="20"/>
          <w:szCs w:val="20"/>
        </w:rPr>
        <w:t>- if certain information cannot be verified through the consumer report it may result in denial.</w:t>
      </w:r>
    </w:p>
    <w:p w14:paraId="0CF2620D" w14:textId="4F11D53C" w:rsidR="0022045F" w:rsidRPr="00A65859" w:rsidRDefault="0022045F" w:rsidP="00A65859">
      <w:pPr>
        <w:pStyle w:val="ListParagraph"/>
        <w:numPr>
          <w:ilvl w:val="0"/>
          <w:numId w:val="6"/>
        </w:numPr>
        <w:rPr>
          <w:rFonts w:ascii="Calibri" w:hAnsi="Calibri" w:cs="Calibri"/>
          <w:sz w:val="20"/>
          <w:szCs w:val="20"/>
        </w:rPr>
      </w:pPr>
      <w:r w:rsidRPr="00A65859">
        <w:rPr>
          <w:rFonts w:asciiTheme="minorHAnsi" w:hAnsiTheme="minorHAnsi"/>
          <w:sz w:val="20"/>
          <w:szCs w:val="20"/>
          <w:u w:val="single"/>
        </w:rPr>
        <w:t>Incomplete Application</w:t>
      </w:r>
      <w:r w:rsidRPr="00A65859">
        <w:rPr>
          <w:rFonts w:asciiTheme="minorHAnsi" w:hAnsiTheme="minorHAnsi"/>
          <w:sz w:val="20"/>
          <w:szCs w:val="20"/>
        </w:rPr>
        <w:t xml:space="preserve">- </w:t>
      </w:r>
      <w:r w:rsidR="00A65859" w:rsidRPr="00A65859">
        <w:rPr>
          <w:rFonts w:ascii="Calibri" w:hAnsi="Calibri" w:cs="Calibri"/>
          <w:sz w:val="20"/>
          <w:szCs w:val="20"/>
        </w:rPr>
        <w:t xml:space="preserve">if not all information is provided on the application it may result in denial after screening. All additional documents, including but not limited to proof of income, are required to be provided within 72 hours of applying, otherwise, the unit reservation is subject to cancellation. If additional time is needed </w:t>
      </w:r>
      <w:proofErr w:type="gramStart"/>
      <w:r w:rsidR="00A65859" w:rsidRPr="00A65859">
        <w:rPr>
          <w:rFonts w:ascii="Calibri" w:hAnsi="Calibri" w:cs="Calibri"/>
          <w:sz w:val="20"/>
          <w:szCs w:val="20"/>
        </w:rPr>
        <w:t>in order to</w:t>
      </w:r>
      <w:proofErr w:type="gramEnd"/>
      <w:r w:rsidR="00A65859" w:rsidRPr="00A65859">
        <w:rPr>
          <w:rFonts w:ascii="Calibri" w:hAnsi="Calibri" w:cs="Calibri"/>
          <w:sz w:val="20"/>
          <w:szCs w:val="20"/>
        </w:rPr>
        <w:t xml:space="preserve"> obtain and provide documents for the application process, the applicant may request in writing said time to the leasing office. The additional time allowed will be 48 hours. </w:t>
      </w:r>
    </w:p>
    <w:p w14:paraId="41D160BB" w14:textId="3A3D81E1" w:rsidR="00422A6E" w:rsidRDefault="0022045F" w:rsidP="0022045F">
      <w:pPr>
        <w:pStyle w:val="ListParagraph"/>
        <w:numPr>
          <w:ilvl w:val="0"/>
          <w:numId w:val="6"/>
        </w:numPr>
        <w:rPr>
          <w:rFonts w:asciiTheme="minorHAnsi" w:hAnsiTheme="minorHAnsi"/>
          <w:sz w:val="20"/>
          <w:szCs w:val="20"/>
        </w:rPr>
      </w:pPr>
      <w:r w:rsidRPr="00A87B14">
        <w:rPr>
          <w:rFonts w:asciiTheme="minorHAnsi" w:hAnsiTheme="minorHAnsi"/>
          <w:sz w:val="20"/>
          <w:szCs w:val="20"/>
          <w:u w:val="single"/>
        </w:rPr>
        <w:t>Fraud Alerts</w:t>
      </w:r>
      <w:r w:rsidRPr="00987302">
        <w:rPr>
          <w:rFonts w:asciiTheme="minorHAnsi" w:hAnsiTheme="minorHAnsi"/>
          <w:sz w:val="20"/>
          <w:szCs w:val="20"/>
        </w:rPr>
        <w:t xml:space="preserve">- if certain accounts are flagged with fraud warnings, it may be subject to further review or ultimately denial. </w:t>
      </w:r>
    </w:p>
    <w:p w14:paraId="64AC551A" w14:textId="5C3F4175" w:rsidR="00C43AB4" w:rsidRDefault="00C43AB4" w:rsidP="0022045F">
      <w:pPr>
        <w:pStyle w:val="ListParagraph"/>
        <w:numPr>
          <w:ilvl w:val="0"/>
          <w:numId w:val="6"/>
        </w:numPr>
        <w:rPr>
          <w:rFonts w:asciiTheme="minorHAnsi" w:hAnsiTheme="minorHAnsi"/>
          <w:sz w:val="20"/>
          <w:szCs w:val="20"/>
        </w:rPr>
      </w:pPr>
      <w:r>
        <w:rPr>
          <w:rFonts w:asciiTheme="minorHAnsi" w:hAnsiTheme="minorHAnsi"/>
          <w:sz w:val="20"/>
          <w:szCs w:val="20"/>
          <w:u w:val="single"/>
        </w:rPr>
        <w:t xml:space="preserve">Conduct </w:t>
      </w:r>
      <w:r>
        <w:rPr>
          <w:rFonts w:asciiTheme="minorHAnsi" w:hAnsiTheme="minorHAnsi"/>
          <w:sz w:val="20"/>
          <w:szCs w:val="20"/>
        </w:rPr>
        <w:t xml:space="preserve">– </w:t>
      </w:r>
      <w:r w:rsidR="00C12316">
        <w:rPr>
          <w:rFonts w:asciiTheme="minorHAnsi" w:hAnsiTheme="minorHAnsi"/>
          <w:sz w:val="20"/>
          <w:szCs w:val="20"/>
        </w:rPr>
        <w:t>actions or behaviors that occur during the application process or during a previous application process at another Westwood Residential or Taylor Land Two managed property, that indicates a potential threat to the residents of the community or an onsite staff member.</w:t>
      </w:r>
    </w:p>
    <w:p w14:paraId="559A02DF" w14:textId="77777777" w:rsidR="00C64C2F" w:rsidRPr="00072E1C" w:rsidRDefault="00C64C2F" w:rsidP="0022045F">
      <w:pPr>
        <w:pStyle w:val="ListParagraph"/>
        <w:ind w:left="648"/>
        <w:rPr>
          <w:rFonts w:asciiTheme="minorHAnsi" w:hAnsiTheme="minorHAnsi"/>
          <w:sz w:val="20"/>
          <w:szCs w:val="20"/>
        </w:rPr>
      </w:pPr>
    </w:p>
    <w:p w14:paraId="106D12A3" w14:textId="77777777" w:rsidR="00C64C2F" w:rsidRPr="00072E1C" w:rsidRDefault="00D9643E" w:rsidP="00C64C2F">
      <w:pPr>
        <w:pStyle w:val="ListParagraph"/>
        <w:numPr>
          <w:ilvl w:val="0"/>
          <w:numId w:val="1"/>
        </w:numPr>
        <w:tabs>
          <w:tab w:val="clear" w:pos="720"/>
        </w:tabs>
        <w:rPr>
          <w:rFonts w:asciiTheme="minorHAnsi" w:hAnsiTheme="minorHAnsi"/>
          <w:sz w:val="20"/>
          <w:szCs w:val="20"/>
        </w:rPr>
      </w:pPr>
      <w:r w:rsidRPr="00072E1C">
        <w:rPr>
          <w:rFonts w:asciiTheme="minorHAnsi" w:hAnsiTheme="minorHAnsi"/>
          <w:b/>
          <w:sz w:val="20"/>
          <w:szCs w:val="20"/>
        </w:rPr>
        <w:t>IDENTIFICATION POLICY ENFORCED:</w:t>
      </w:r>
      <w:r w:rsidR="008C1DA9" w:rsidRPr="00072E1C">
        <w:rPr>
          <w:rFonts w:asciiTheme="minorHAnsi" w:hAnsiTheme="minorHAnsi"/>
          <w:b/>
          <w:sz w:val="20"/>
          <w:szCs w:val="20"/>
        </w:rPr>
        <w:t xml:space="preserve"> </w:t>
      </w:r>
      <w:r w:rsidRPr="00072E1C">
        <w:rPr>
          <w:rFonts w:asciiTheme="minorHAnsi" w:hAnsiTheme="minorHAnsi"/>
          <w:sz w:val="20"/>
          <w:szCs w:val="20"/>
        </w:rPr>
        <w:t>Persons applying from remote locations, in which we’ve not had the privilege of identifying in</w:t>
      </w:r>
      <w:r w:rsidR="00C64C2F" w:rsidRPr="00072E1C">
        <w:rPr>
          <w:rFonts w:asciiTheme="minorHAnsi" w:hAnsiTheme="minorHAnsi"/>
          <w:sz w:val="20"/>
          <w:szCs w:val="20"/>
        </w:rPr>
        <w:t xml:space="preserve"> </w:t>
      </w:r>
      <w:r w:rsidRPr="00072E1C">
        <w:rPr>
          <w:rFonts w:asciiTheme="minorHAnsi" w:hAnsiTheme="minorHAnsi"/>
          <w:sz w:val="20"/>
          <w:szCs w:val="20"/>
        </w:rPr>
        <w:t>person, must be present at time of move-in for the initial release of keys, security devices and final r</w:t>
      </w:r>
      <w:r w:rsidR="00C64C2F" w:rsidRPr="00072E1C">
        <w:rPr>
          <w:rFonts w:asciiTheme="minorHAnsi" w:hAnsiTheme="minorHAnsi"/>
          <w:sz w:val="20"/>
          <w:szCs w:val="20"/>
        </w:rPr>
        <w:t xml:space="preserve">ecord of identification for the </w:t>
      </w:r>
      <w:r w:rsidRPr="00072E1C">
        <w:rPr>
          <w:rFonts w:asciiTheme="minorHAnsi" w:hAnsiTheme="minorHAnsi"/>
          <w:sz w:val="20"/>
          <w:szCs w:val="20"/>
        </w:rPr>
        <w:t>resident file.</w:t>
      </w:r>
    </w:p>
    <w:p w14:paraId="4370A0BA" w14:textId="77777777" w:rsidR="00C64C2F" w:rsidRPr="00072E1C" w:rsidRDefault="00C64C2F" w:rsidP="00C64C2F">
      <w:pPr>
        <w:rPr>
          <w:rFonts w:asciiTheme="minorHAnsi" w:hAnsiTheme="minorHAnsi"/>
          <w:sz w:val="20"/>
          <w:szCs w:val="20"/>
        </w:rPr>
      </w:pPr>
    </w:p>
    <w:p w14:paraId="52D2CB2C" w14:textId="3BBE0621" w:rsidR="00FC76C2" w:rsidRPr="0022045F" w:rsidRDefault="00C64C2F" w:rsidP="00C64C2F">
      <w:pPr>
        <w:pStyle w:val="ListParagraph"/>
        <w:numPr>
          <w:ilvl w:val="0"/>
          <w:numId w:val="1"/>
        </w:numPr>
        <w:tabs>
          <w:tab w:val="clear" w:pos="720"/>
        </w:tabs>
        <w:rPr>
          <w:rFonts w:asciiTheme="minorHAnsi" w:hAnsiTheme="minorHAnsi"/>
          <w:sz w:val="20"/>
          <w:szCs w:val="20"/>
        </w:rPr>
      </w:pPr>
      <w:r w:rsidRPr="00072E1C">
        <w:rPr>
          <w:rFonts w:asciiTheme="minorHAnsi" w:hAnsiTheme="minorHAnsi"/>
          <w:b/>
          <w:sz w:val="20"/>
          <w:szCs w:val="20"/>
        </w:rPr>
        <w:t>HOLD</w:t>
      </w:r>
      <w:r w:rsidR="00FC76C2" w:rsidRPr="00072E1C">
        <w:rPr>
          <w:rStyle w:val="Strong"/>
          <w:rFonts w:asciiTheme="minorHAnsi" w:hAnsiTheme="minorHAnsi"/>
          <w:kern w:val="36"/>
          <w:sz w:val="20"/>
          <w:szCs w:val="20"/>
        </w:rPr>
        <w:t xml:space="preserve">ING FEE POLICY: </w:t>
      </w:r>
      <w:r w:rsidR="00180751" w:rsidRPr="00180751">
        <w:rPr>
          <w:rFonts w:asciiTheme="minorHAnsi" w:hAnsiTheme="minorHAnsi"/>
          <w:kern w:val="36"/>
          <w:sz w:val="20"/>
          <w:szCs w:val="20"/>
        </w:rPr>
        <w:t>The Holding Fee</w:t>
      </w:r>
      <w:r w:rsidR="00B242CA">
        <w:rPr>
          <w:rFonts w:asciiTheme="minorHAnsi" w:hAnsiTheme="minorHAnsi"/>
          <w:kern w:val="36"/>
          <w:sz w:val="20"/>
          <w:szCs w:val="20"/>
        </w:rPr>
        <w:t xml:space="preserve">/Floorplan Deposit and </w:t>
      </w:r>
      <w:r w:rsidR="00180751" w:rsidRPr="00180751">
        <w:rPr>
          <w:rFonts w:asciiTheme="minorHAnsi" w:hAnsiTheme="minorHAnsi"/>
          <w:kern w:val="36"/>
          <w:sz w:val="20"/>
          <w:szCs w:val="20"/>
        </w:rPr>
        <w:t xml:space="preserve">Application Fee are required to reserve an apartment and hold it off the market from other </w:t>
      </w:r>
      <w:proofErr w:type="gramStart"/>
      <w:r w:rsidR="00180751" w:rsidRPr="00180751">
        <w:rPr>
          <w:rFonts w:asciiTheme="minorHAnsi" w:hAnsiTheme="minorHAnsi"/>
          <w:kern w:val="36"/>
          <w:sz w:val="20"/>
          <w:szCs w:val="20"/>
        </w:rPr>
        <w:t>prospective</w:t>
      </w:r>
      <w:proofErr w:type="gramEnd"/>
      <w:r w:rsidR="00180751" w:rsidRPr="00180751">
        <w:rPr>
          <w:rFonts w:asciiTheme="minorHAnsi" w:hAnsiTheme="minorHAnsi"/>
          <w:kern w:val="36"/>
          <w:sz w:val="20"/>
          <w:szCs w:val="20"/>
        </w:rPr>
        <w:t xml:space="preserve"> applicants. Upon application approval the Holding Fee</w:t>
      </w:r>
      <w:r w:rsidR="00B242CA">
        <w:rPr>
          <w:rFonts w:asciiTheme="minorHAnsi" w:hAnsiTheme="minorHAnsi"/>
          <w:kern w:val="36"/>
          <w:sz w:val="20"/>
          <w:szCs w:val="20"/>
        </w:rPr>
        <w:t xml:space="preserve">/Floorplan Deposit </w:t>
      </w:r>
      <w:r w:rsidR="00180751" w:rsidRPr="00180751">
        <w:rPr>
          <w:rFonts w:asciiTheme="minorHAnsi" w:hAnsiTheme="minorHAnsi"/>
          <w:kern w:val="36"/>
          <w:sz w:val="20"/>
          <w:szCs w:val="20"/>
        </w:rPr>
        <w:t xml:space="preserve">will satisfy some or </w:t>
      </w:r>
      <w:r w:rsidR="00BC238F" w:rsidRPr="00180751">
        <w:rPr>
          <w:rFonts w:asciiTheme="minorHAnsi" w:hAnsiTheme="minorHAnsi"/>
          <w:kern w:val="36"/>
          <w:sz w:val="20"/>
          <w:szCs w:val="20"/>
        </w:rPr>
        <w:t>all</w:t>
      </w:r>
      <w:r w:rsidR="00180751" w:rsidRPr="00180751">
        <w:rPr>
          <w:rFonts w:asciiTheme="minorHAnsi" w:hAnsiTheme="minorHAnsi"/>
          <w:kern w:val="36"/>
          <w:sz w:val="20"/>
          <w:szCs w:val="20"/>
        </w:rPr>
        <w:t xml:space="preserve"> your required Security Deposit. If you cancel your application, the Holding </w:t>
      </w:r>
      <w:r w:rsidR="00B242CA">
        <w:rPr>
          <w:rFonts w:asciiTheme="minorHAnsi" w:hAnsiTheme="minorHAnsi"/>
          <w:kern w:val="36"/>
          <w:sz w:val="20"/>
          <w:szCs w:val="20"/>
        </w:rPr>
        <w:t>Fee/Floorplan Deposit</w:t>
      </w:r>
      <w:r w:rsidR="00180751" w:rsidRPr="00180751">
        <w:rPr>
          <w:rFonts w:asciiTheme="minorHAnsi" w:hAnsiTheme="minorHAnsi"/>
          <w:kern w:val="36"/>
          <w:sz w:val="20"/>
          <w:szCs w:val="20"/>
        </w:rPr>
        <w:t xml:space="preserve"> </w:t>
      </w:r>
      <w:r w:rsidR="00407A84">
        <w:rPr>
          <w:rFonts w:asciiTheme="minorHAnsi" w:hAnsiTheme="minorHAnsi"/>
          <w:kern w:val="36"/>
          <w:sz w:val="20"/>
          <w:szCs w:val="20"/>
        </w:rPr>
        <w:t>will</w:t>
      </w:r>
      <w:r w:rsidR="00180751" w:rsidRPr="00180751">
        <w:rPr>
          <w:rFonts w:asciiTheme="minorHAnsi" w:hAnsiTheme="minorHAnsi"/>
          <w:kern w:val="36"/>
          <w:sz w:val="20"/>
          <w:szCs w:val="20"/>
        </w:rPr>
        <w:t xml:space="preserve"> be forfeited as liquidated damages.</w:t>
      </w:r>
      <w:r w:rsidR="0022045F">
        <w:rPr>
          <w:rFonts w:asciiTheme="minorHAnsi" w:hAnsiTheme="minorHAnsi"/>
          <w:kern w:val="36"/>
          <w:sz w:val="20"/>
          <w:szCs w:val="20"/>
        </w:rPr>
        <w:br/>
      </w:r>
    </w:p>
    <w:p w14:paraId="7BC93B63" w14:textId="77777777" w:rsidR="0022045F" w:rsidRPr="00987302" w:rsidRDefault="0022045F" w:rsidP="0022045F">
      <w:pPr>
        <w:pStyle w:val="BodyText"/>
        <w:numPr>
          <w:ilvl w:val="0"/>
          <w:numId w:val="1"/>
        </w:numPr>
        <w:tabs>
          <w:tab w:val="clear" w:pos="720"/>
          <w:tab w:val="left" w:pos="270"/>
          <w:tab w:val="left" w:pos="360"/>
          <w:tab w:val="left" w:pos="450"/>
        </w:tabs>
        <w:rPr>
          <w:rFonts w:asciiTheme="minorHAnsi" w:hAnsiTheme="minorHAnsi"/>
          <w:szCs w:val="20"/>
        </w:rPr>
      </w:pPr>
      <w:r>
        <w:rPr>
          <w:rFonts w:asciiTheme="minorHAnsi" w:hAnsiTheme="minorHAnsi"/>
          <w:szCs w:val="20"/>
        </w:rPr>
        <w:t xml:space="preserve">EXECUTED </w:t>
      </w:r>
      <w:r w:rsidRPr="00987302">
        <w:rPr>
          <w:rFonts w:asciiTheme="minorHAnsi" w:hAnsiTheme="minorHAnsi"/>
          <w:szCs w:val="20"/>
        </w:rPr>
        <w:t>LEASE CONTRACT:</w:t>
      </w:r>
      <w:r>
        <w:rPr>
          <w:rFonts w:asciiTheme="minorHAnsi" w:hAnsiTheme="minorHAnsi"/>
          <w:szCs w:val="20"/>
        </w:rPr>
        <w:t xml:space="preserve"> </w:t>
      </w:r>
      <w:r>
        <w:rPr>
          <w:rFonts w:asciiTheme="minorHAnsi" w:hAnsiTheme="minorHAnsi"/>
          <w:b w:val="0"/>
          <w:szCs w:val="20"/>
        </w:rPr>
        <w:t xml:space="preserve">All Lease Contracts and Addendums are required to be signed within five (5) days of notice of application approval. Failure to execute said Lease Contract may result in cancellation of the unit reservation and forfeiture of the Holding/Security Deposit as liquidated damages. </w:t>
      </w:r>
    </w:p>
    <w:p w14:paraId="71F82E16" w14:textId="77777777" w:rsidR="0022045F" w:rsidRPr="00072E1C" w:rsidRDefault="0022045F" w:rsidP="00C64C2F">
      <w:pPr>
        <w:pStyle w:val="ListParagraph"/>
        <w:ind w:left="0"/>
        <w:rPr>
          <w:rFonts w:asciiTheme="minorHAnsi" w:hAnsiTheme="minorHAnsi"/>
          <w:sz w:val="20"/>
          <w:szCs w:val="20"/>
        </w:rPr>
      </w:pPr>
    </w:p>
    <w:tbl>
      <w:tblPr>
        <w:tblpPr w:leftFromText="180" w:rightFromText="180" w:vertAnchor="text" w:horzAnchor="margin" w:tblpXSpec="right" w:tblpY="22"/>
        <w:tblW w:w="4463"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014"/>
        <w:gridCol w:w="1159"/>
        <w:gridCol w:w="1290"/>
      </w:tblGrid>
      <w:tr w:rsidR="00847381" w:rsidRPr="00072E1C" w14:paraId="4AC8B03F" w14:textId="77777777" w:rsidTr="00847381">
        <w:trPr>
          <w:trHeight w:val="1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CFC33" w14:textId="77777777" w:rsidR="00847381" w:rsidRPr="00072E1C" w:rsidRDefault="00847381" w:rsidP="00847381">
            <w:pPr>
              <w:rPr>
                <w:rFonts w:asciiTheme="minorHAnsi" w:hAnsiTheme="minorHAnsi"/>
                <w:sz w:val="20"/>
                <w:szCs w:val="20"/>
              </w:rPr>
            </w:pPr>
            <w:r w:rsidRPr="00072E1C">
              <w:rPr>
                <w:rFonts w:asciiTheme="minorHAnsi" w:hAnsiTheme="minorHAnsi"/>
                <w:sz w:val="20"/>
                <w:szCs w:val="20"/>
              </w:rPr>
              <w:t>Family Size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41441" w14:textId="77777777" w:rsidR="00847381" w:rsidRPr="00072E1C" w:rsidRDefault="00847381" w:rsidP="00847381">
            <w:pPr>
              <w:rPr>
                <w:rFonts w:asciiTheme="minorHAnsi" w:hAnsiTheme="minorHAnsi"/>
                <w:sz w:val="20"/>
                <w:szCs w:val="20"/>
              </w:rPr>
            </w:pPr>
            <w:r w:rsidRPr="00072E1C">
              <w:rPr>
                <w:rFonts w:asciiTheme="minorHAnsi" w:hAnsiTheme="minorHAnsi"/>
                <w:sz w:val="20"/>
                <w:szCs w:val="20"/>
              </w:rPr>
              <w:t>1 Person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9F8C1" w14:textId="77777777" w:rsidR="00847381" w:rsidRPr="00072E1C" w:rsidRDefault="00847381" w:rsidP="00847381">
            <w:pPr>
              <w:rPr>
                <w:rFonts w:asciiTheme="minorHAnsi" w:hAnsiTheme="minorHAnsi"/>
                <w:sz w:val="20"/>
                <w:szCs w:val="20"/>
              </w:rPr>
            </w:pPr>
            <w:r w:rsidRPr="00072E1C">
              <w:rPr>
                <w:rFonts w:asciiTheme="minorHAnsi" w:hAnsiTheme="minorHAnsi"/>
                <w:sz w:val="20"/>
                <w:szCs w:val="20"/>
              </w:rPr>
              <w:t>2 Persons</w:t>
            </w:r>
          </w:p>
        </w:tc>
      </w:tr>
      <w:tr w:rsidR="00847381" w:rsidRPr="00072E1C" w14:paraId="0B4E7C53" w14:textId="77777777" w:rsidTr="00847381">
        <w:trPr>
          <w:trHeight w:val="1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E3A35" w14:textId="77777777" w:rsidR="00847381" w:rsidRPr="00072E1C" w:rsidRDefault="00847381" w:rsidP="00847381">
            <w:pPr>
              <w:rPr>
                <w:rFonts w:asciiTheme="minorHAnsi" w:hAnsiTheme="minorHAnsi"/>
                <w:sz w:val="20"/>
                <w:szCs w:val="20"/>
              </w:rPr>
            </w:pPr>
            <w:r w:rsidRPr="00072E1C">
              <w:rPr>
                <w:rFonts w:asciiTheme="minorHAnsi" w:hAnsiTheme="minorHAnsi"/>
                <w:sz w:val="20"/>
                <w:szCs w:val="20"/>
              </w:rPr>
              <w:t>STUDIO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BBB26" w14:textId="09625C8E" w:rsidR="00847381" w:rsidRPr="00072E1C" w:rsidRDefault="00847381" w:rsidP="00847381">
            <w:pPr>
              <w:rPr>
                <w:rFonts w:asciiTheme="minorHAnsi" w:hAnsiTheme="minorHAnsi"/>
                <w:sz w:val="20"/>
                <w:szCs w:val="20"/>
              </w:rPr>
            </w:pPr>
            <w:r w:rsidRPr="00072E1C">
              <w:rPr>
                <w:rFonts w:asciiTheme="minorHAnsi" w:hAnsiTheme="minorHAnsi"/>
                <w:sz w:val="20"/>
                <w:szCs w:val="20"/>
              </w:rPr>
              <w:t>$4</w:t>
            </w:r>
            <w:r w:rsidR="00A02BAA">
              <w:rPr>
                <w:rFonts w:asciiTheme="minorHAnsi" w:hAnsiTheme="minorHAnsi"/>
                <w:sz w:val="20"/>
                <w:szCs w:val="20"/>
              </w:rPr>
              <w:t>9</w:t>
            </w:r>
            <w:r w:rsidRPr="00072E1C">
              <w:rPr>
                <w:rFonts w:asciiTheme="minorHAnsi" w:hAnsiTheme="minorHAnsi"/>
                <w:sz w:val="20"/>
                <w:szCs w:val="20"/>
              </w:rPr>
              <w:t>,</w:t>
            </w:r>
            <w:r w:rsidR="00A02BAA">
              <w:rPr>
                <w:rFonts w:asciiTheme="minorHAnsi" w:hAnsiTheme="minorHAnsi"/>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78DFA" w14:textId="25ADA551" w:rsidR="00847381" w:rsidRPr="00072E1C" w:rsidRDefault="00847381" w:rsidP="00847381">
            <w:pPr>
              <w:rPr>
                <w:rFonts w:asciiTheme="minorHAnsi" w:hAnsiTheme="minorHAnsi"/>
                <w:sz w:val="20"/>
                <w:szCs w:val="20"/>
              </w:rPr>
            </w:pPr>
            <w:r w:rsidRPr="00072E1C">
              <w:rPr>
                <w:rFonts w:asciiTheme="minorHAnsi" w:hAnsiTheme="minorHAnsi"/>
                <w:sz w:val="20"/>
                <w:szCs w:val="20"/>
              </w:rPr>
              <w:t>$</w:t>
            </w:r>
            <w:r w:rsidR="00A02BAA">
              <w:rPr>
                <w:rFonts w:asciiTheme="minorHAnsi" w:hAnsiTheme="minorHAnsi"/>
                <w:sz w:val="20"/>
                <w:szCs w:val="20"/>
              </w:rPr>
              <w:t>56</w:t>
            </w:r>
            <w:r w:rsidRPr="00072E1C">
              <w:rPr>
                <w:rFonts w:asciiTheme="minorHAnsi" w:hAnsiTheme="minorHAnsi"/>
                <w:sz w:val="20"/>
                <w:szCs w:val="20"/>
              </w:rPr>
              <w:t>,</w:t>
            </w:r>
            <w:r w:rsidR="00A02BAA">
              <w:rPr>
                <w:rFonts w:asciiTheme="minorHAnsi" w:hAnsiTheme="minorHAnsi"/>
                <w:sz w:val="20"/>
                <w:szCs w:val="20"/>
              </w:rPr>
              <w:t>450</w:t>
            </w:r>
          </w:p>
        </w:tc>
      </w:tr>
      <w:tr w:rsidR="00847381" w:rsidRPr="00072E1C" w14:paraId="3A9FF0FD" w14:textId="77777777" w:rsidTr="00847381">
        <w:trPr>
          <w:trHeight w:val="1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44116" w14:textId="77777777" w:rsidR="00847381" w:rsidRPr="00072E1C" w:rsidRDefault="00847381" w:rsidP="00847381">
            <w:pPr>
              <w:rPr>
                <w:rFonts w:asciiTheme="minorHAnsi" w:hAnsiTheme="minorHAnsi"/>
                <w:sz w:val="20"/>
                <w:szCs w:val="20"/>
              </w:rPr>
            </w:pPr>
            <w:r w:rsidRPr="00072E1C">
              <w:rPr>
                <w:rFonts w:asciiTheme="minorHAnsi" w:hAnsiTheme="minorHAnsi"/>
                <w:sz w:val="20"/>
                <w:szCs w:val="20"/>
              </w:rPr>
              <w:t>ONE BEDROOM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1C708" w14:textId="04A85AD4" w:rsidR="00847381" w:rsidRPr="00072E1C" w:rsidRDefault="00847381" w:rsidP="00847381">
            <w:pPr>
              <w:rPr>
                <w:rFonts w:asciiTheme="minorHAnsi" w:hAnsiTheme="minorHAnsi"/>
                <w:sz w:val="20"/>
                <w:szCs w:val="20"/>
              </w:rPr>
            </w:pPr>
            <w:r w:rsidRPr="00072E1C">
              <w:rPr>
                <w:rFonts w:asciiTheme="minorHAnsi" w:hAnsiTheme="minorHAnsi"/>
                <w:sz w:val="20"/>
                <w:szCs w:val="20"/>
              </w:rPr>
              <w:t>$</w:t>
            </w:r>
            <w:r w:rsidR="00A02BAA">
              <w:rPr>
                <w:rFonts w:asciiTheme="minorHAnsi" w:hAnsiTheme="minorHAnsi"/>
                <w:sz w:val="20"/>
                <w:szCs w:val="20"/>
              </w:rPr>
              <w:t>5</w:t>
            </w:r>
            <w:r w:rsidRPr="00072E1C">
              <w:rPr>
                <w:rFonts w:asciiTheme="minorHAnsi" w:hAnsiTheme="minorHAnsi"/>
                <w:sz w:val="20"/>
                <w:szCs w:val="20"/>
              </w:rPr>
              <w:t>7,</w:t>
            </w:r>
            <w:r w:rsidR="00A02BAA">
              <w:rPr>
                <w:rFonts w:asciiTheme="minorHAnsi" w:hAnsiTheme="minorHAnsi"/>
                <w:sz w:val="20"/>
                <w:szCs w:val="20"/>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D2FD0" w14:textId="02C22B68" w:rsidR="00847381" w:rsidRPr="00072E1C" w:rsidRDefault="00847381" w:rsidP="00847381">
            <w:pPr>
              <w:rPr>
                <w:rFonts w:asciiTheme="minorHAnsi" w:hAnsiTheme="minorHAnsi"/>
                <w:sz w:val="20"/>
                <w:szCs w:val="20"/>
              </w:rPr>
            </w:pPr>
            <w:r w:rsidRPr="00072E1C">
              <w:rPr>
                <w:rFonts w:asciiTheme="minorHAnsi" w:hAnsiTheme="minorHAnsi"/>
                <w:sz w:val="20"/>
                <w:szCs w:val="20"/>
              </w:rPr>
              <w:t>$</w:t>
            </w:r>
            <w:r w:rsidR="00A02BAA">
              <w:rPr>
                <w:rFonts w:asciiTheme="minorHAnsi" w:hAnsiTheme="minorHAnsi"/>
                <w:sz w:val="20"/>
                <w:szCs w:val="20"/>
              </w:rPr>
              <w:t>65,150</w:t>
            </w:r>
          </w:p>
        </w:tc>
      </w:tr>
    </w:tbl>
    <w:p w14:paraId="24ECFD1E" w14:textId="77777777" w:rsidR="008C1DA9" w:rsidRPr="00072E1C" w:rsidRDefault="00873159" w:rsidP="00847381">
      <w:pPr>
        <w:rPr>
          <w:rFonts w:asciiTheme="minorHAnsi" w:hAnsiTheme="minorHAnsi"/>
          <w:b/>
          <w:sz w:val="20"/>
          <w:szCs w:val="20"/>
        </w:rPr>
      </w:pPr>
      <w:r w:rsidRPr="00072E1C">
        <w:rPr>
          <w:rFonts w:asciiTheme="minorHAnsi" w:hAnsiTheme="minorHAnsi"/>
          <w:b/>
          <w:sz w:val="20"/>
          <w:szCs w:val="20"/>
        </w:rPr>
        <w:t xml:space="preserve">A percentage of the </w:t>
      </w:r>
      <w:r w:rsidR="00A60AD5" w:rsidRPr="00072E1C">
        <w:rPr>
          <w:rFonts w:asciiTheme="minorHAnsi" w:hAnsiTheme="minorHAnsi"/>
          <w:b/>
          <w:sz w:val="20"/>
          <w:szCs w:val="20"/>
        </w:rPr>
        <w:t>apartment homes</w:t>
      </w:r>
      <w:r w:rsidRPr="00072E1C">
        <w:rPr>
          <w:rFonts w:asciiTheme="minorHAnsi" w:hAnsiTheme="minorHAnsi"/>
          <w:b/>
          <w:sz w:val="20"/>
          <w:szCs w:val="20"/>
        </w:rPr>
        <w:t xml:space="preserve"> at Muriel's Landing are </w:t>
      </w:r>
      <w:r w:rsidR="001E12DD" w:rsidRPr="00072E1C">
        <w:rPr>
          <w:rFonts w:asciiTheme="minorHAnsi" w:hAnsiTheme="minorHAnsi"/>
          <w:b/>
          <w:sz w:val="20"/>
          <w:szCs w:val="20"/>
        </w:rPr>
        <w:t xml:space="preserve">subject to </w:t>
      </w:r>
      <w:r w:rsidRPr="00072E1C">
        <w:rPr>
          <w:rFonts w:asciiTheme="minorHAnsi" w:hAnsiTheme="minorHAnsi"/>
          <w:b/>
          <w:sz w:val="20"/>
          <w:szCs w:val="20"/>
        </w:rPr>
        <w:t>rent restrict</w:t>
      </w:r>
      <w:r w:rsidR="001E12DD" w:rsidRPr="00072E1C">
        <w:rPr>
          <w:rFonts w:asciiTheme="minorHAnsi" w:hAnsiTheme="minorHAnsi"/>
          <w:b/>
          <w:sz w:val="20"/>
          <w:szCs w:val="20"/>
        </w:rPr>
        <w:t>ions</w:t>
      </w:r>
      <w:r w:rsidR="00A60AD5" w:rsidRPr="00072E1C">
        <w:rPr>
          <w:rFonts w:asciiTheme="minorHAnsi" w:hAnsiTheme="minorHAnsi"/>
          <w:b/>
          <w:sz w:val="20"/>
          <w:szCs w:val="20"/>
        </w:rPr>
        <w:t>.</w:t>
      </w:r>
      <w:r w:rsidR="008C1DA9" w:rsidRPr="00072E1C">
        <w:rPr>
          <w:rFonts w:asciiTheme="minorHAnsi" w:hAnsiTheme="minorHAnsi"/>
          <w:b/>
          <w:sz w:val="20"/>
          <w:szCs w:val="20"/>
        </w:rPr>
        <w:t xml:space="preserve"> </w:t>
      </w:r>
      <w:r w:rsidR="00A60AD5" w:rsidRPr="00072E1C">
        <w:rPr>
          <w:rFonts w:asciiTheme="minorHAnsi" w:hAnsiTheme="minorHAnsi"/>
          <w:b/>
          <w:sz w:val="20"/>
          <w:szCs w:val="20"/>
        </w:rPr>
        <w:t>It is possible that you may qualify for a rent restricted apartment home</w:t>
      </w:r>
      <w:r w:rsidR="008854D5" w:rsidRPr="00072E1C">
        <w:rPr>
          <w:rFonts w:asciiTheme="minorHAnsi" w:hAnsiTheme="minorHAnsi"/>
          <w:b/>
          <w:sz w:val="20"/>
          <w:szCs w:val="20"/>
        </w:rPr>
        <w:t xml:space="preserve"> by meeting the below income qualifications</w:t>
      </w:r>
      <w:r w:rsidR="00A60AD5" w:rsidRPr="00072E1C">
        <w:rPr>
          <w:rFonts w:asciiTheme="minorHAnsi" w:hAnsiTheme="minorHAnsi"/>
          <w:b/>
          <w:sz w:val="20"/>
          <w:szCs w:val="20"/>
        </w:rPr>
        <w:t>.</w:t>
      </w:r>
      <w:r w:rsidR="008C1DA9" w:rsidRPr="00072E1C">
        <w:rPr>
          <w:rFonts w:asciiTheme="minorHAnsi" w:hAnsiTheme="minorHAnsi"/>
          <w:b/>
          <w:sz w:val="20"/>
          <w:szCs w:val="20"/>
        </w:rPr>
        <w:t xml:space="preserve"> </w:t>
      </w:r>
      <w:r w:rsidR="008854D5" w:rsidRPr="00072E1C">
        <w:rPr>
          <w:rFonts w:asciiTheme="minorHAnsi" w:hAnsiTheme="minorHAnsi"/>
          <w:b/>
          <w:sz w:val="20"/>
          <w:szCs w:val="20"/>
        </w:rPr>
        <w:t xml:space="preserve">The rent restricted </w:t>
      </w:r>
      <w:r w:rsidR="00EC7FA6" w:rsidRPr="00072E1C">
        <w:rPr>
          <w:rFonts w:asciiTheme="minorHAnsi" w:hAnsiTheme="minorHAnsi"/>
          <w:b/>
          <w:sz w:val="20"/>
          <w:szCs w:val="20"/>
        </w:rPr>
        <w:t>apartments</w:t>
      </w:r>
      <w:r w:rsidR="008854D5" w:rsidRPr="00072E1C">
        <w:rPr>
          <w:rFonts w:asciiTheme="minorHAnsi" w:hAnsiTheme="minorHAnsi"/>
          <w:b/>
          <w:sz w:val="20"/>
          <w:szCs w:val="20"/>
        </w:rPr>
        <w:t xml:space="preserve"> are subject to availability</w:t>
      </w:r>
      <w:r w:rsidR="00D270B6" w:rsidRPr="00072E1C">
        <w:rPr>
          <w:rFonts w:asciiTheme="minorHAnsi" w:hAnsiTheme="minorHAnsi"/>
          <w:b/>
          <w:sz w:val="20"/>
          <w:szCs w:val="20"/>
        </w:rPr>
        <w:t>,</w:t>
      </w:r>
      <w:r w:rsidR="00693C79" w:rsidRPr="00072E1C">
        <w:rPr>
          <w:rFonts w:asciiTheme="minorHAnsi" w:hAnsiTheme="minorHAnsi"/>
          <w:b/>
          <w:sz w:val="20"/>
          <w:szCs w:val="20"/>
        </w:rPr>
        <w:t xml:space="preserve"> and therefore</w:t>
      </w:r>
      <w:r w:rsidR="00D270B6" w:rsidRPr="00072E1C">
        <w:rPr>
          <w:rFonts w:asciiTheme="minorHAnsi" w:hAnsiTheme="minorHAnsi"/>
          <w:b/>
          <w:sz w:val="20"/>
          <w:szCs w:val="20"/>
        </w:rPr>
        <w:t>,</w:t>
      </w:r>
      <w:r w:rsidR="00693C79" w:rsidRPr="00072E1C">
        <w:rPr>
          <w:rFonts w:asciiTheme="minorHAnsi" w:hAnsiTheme="minorHAnsi"/>
          <w:b/>
          <w:sz w:val="20"/>
          <w:szCs w:val="20"/>
        </w:rPr>
        <w:t xml:space="preserve"> we cannot guarantee a rent restricted </w:t>
      </w:r>
      <w:r w:rsidR="00EC7FA6" w:rsidRPr="00072E1C">
        <w:rPr>
          <w:rFonts w:asciiTheme="minorHAnsi" w:hAnsiTheme="minorHAnsi"/>
          <w:b/>
          <w:sz w:val="20"/>
          <w:szCs w:val="20"/>
        </w:rPr>
        <w:t>apartment</w:t>
      </w:r>
      <w:r w:rsidR="00693C79" w:rsidRPr="00072E1C">
        <w:rPr>
          <w:rFonts w:asciiTheme="minorHAnsi" w:hAnsiTheme="minorHAnsi"/>
          <w:b/>
          <w:sz w:val="20"/>
          <w:szCs w:val="20"/>
        </w:rPr>
        <w:t xml:space="preserve"> will be available </w:t>
      </w:r>
      <w:r w:rsidR="00EC7FA6" w:rsidRPr="00072E1C">
        <w:rPr>
          <w:rFonts w:asciiTheme="minorHAnsi" w:hAnsiTheme="minorHAnsi"/>
          <w:b/>
          <w:sz w:val="20"/>
          <w:szCs w:val="20"/>
        </w:rPr>
        <w:t>at the time you lease.</w:t>
      </w:r>
      <w:r w:rsidR="008C1DA9" w:rsidRPr="00072E1C">
        <w:rPr>
          <w:rFonts w:asciiTheme="minorHAnsi" w:hAnsiTheme="minorHAnsi"/>
          <w:b/>
          <w:sz w:val="20"/>
          <w:szCs w:val="20"/>
        </w:rPr>
        <w:t xml:space="preserve"> </w:t>
      </w:r>
      <w:r w:rsidR="00A60AD5" w:rsidRPr="00072E1C">
        <w:rPr>
          <w:rFonts w:asciiTheme="minorHAnsi" w:hAnsiTheme="minorHAnsi"/>
          <w:b/>
          <w:sz w:val="20"/>
          <w:szCs w:val="20"/>
        </w:rPr>
        <w:t xml:space="preserve"> The maximum allowable income is:</w:t>
      </w:r>
      <w:r w:rsidR="008C1DA9" w:rsidRPr="00072E1C">
        <w:rPr>
          <w:rFonts w:asciiTheme="minorHAnsi" w:hAnsiTheme="minorHAnsi"/>
          <w:b/>
          <w:sz w:val="20"/>
          <w:szCs w:val="20"/>
        </w:rPr>
        <w:br/>
      </w:r>
    </w:p>
    <w:p w14:paraId="32B739B9" w14:textId="77777777" w:rsidR="00DF5ECF" w:rsidRPr="00072E1C" w:rsidRDefault="007364FC" w:rsidP="00C64C2F">
      <w:pPr>
        <w:rPr>
          <w:rFonts w:asciiTheme="minorHAnsi" w:hAnsiTheme="minorHAnsi"/>
          <w:sz w:val="20"/>
          <w:szCs w:val="20"/>
        </w:rPr>
      </w:pPr>
      <w:r w:rsidRPr="00072E1C">
        <w:rPr>
          <w:rFonts w:asciiTheme="minorHAnsi" w:hAnsiTheme="minorHAnsi"/>
          <w:sz w:val="20"/>
          <w:szCs w:val="20"/>
        </w:rPr>
        <w:t>You have the right to know the information contained in your file at the consumer reporting agency and dispute any information in your file that you believe is inaccurate.</w:t>
      </w:r>
      <w:r w:rsidR="008C1DA9" w:rsidRPr="00072E1C">
        <w:rPr>
          <w:rFonts w:asciiTheme="minorHAnsi" w:hAnsiTheme="minorHAnsi"/>
          <w:sz w:val="20"/>
          <w:szCs w:val="20"/>
        </w:rPr>
        <w:t xml:space="preserve"> </w:t>
      </w:r>
      <w:r w:rsidR="00873159" w:rsidRPr="00072E1C">
        <w:rPr>
          <w:rFonts w:asciiTheme="minorHAnsi" w:hAnsiTheme="minorHAnsi"/>
          <w:sz w:val="20"/>
          <w:szCs w:val="20"/>
        </w:rPr>
        <w:t>As part of the application process and in accordance with the State of Washington Fair Tenant Screening Act, we want to make you aware of specific information that may be considered in our decision to approve, approve with conditions or deny the application.</w:t>
      </w:r>
      <w:r w:rsidR="008C1DA9" w:rsidRPr="00072E1C">
        <w:rPr>
          <w:rFonts w:asciiTheme="minorHAnsi" w:hAnsiTheme="minorHAnsi"/>
          <w:sz w:val="20"/>
          <w:szCs w:val="20"/>
        </w:rPr>
        <w:t xml:space="preserve"> </w:t>
      </w:r>
      <w:r w:rsidR="00D84533" w:rsidRPr="00072E1C">
        <w:rPr>
          <w:rStyle w:val="Strong"/>
          <w:rFonts w:asciiTheme="minorHAnsi" w:hAnsiTheme="minorHAnsi"/>
          <w:iCs/>
          <w:sz w:val="20"/>
          <w:szCs w:val="20"/>
        </w:rPr>
        <w:t>We do not accept reusable tenant screening reports.</w:t>
      </w:r>
      <w:r w:rsidR="00D84533" w:rsidRPr="00072E1C">
        <w:rPr>
          <w:rStyle w:val="Strong"/>
          <w:rFonts w:asciiTheme="minorHAnsi" w:hAnsiTheme="minorHAnsi"/>
          <w:i/>
          <w:iCs/>
          <w:sz w:val="20"/>
          <w:szCs w:val="20"/>
        </w:rPr>
        <w:t xml:space="preserve"> </w:t>
      </w:r>
      <w:proofErr w:type="gramStart"/>
      <w:r w:rsidR="00873159" w:rsidRPr="00072E1C">
        <w:rPr>
          <w:rFonts w:asciiTheme="minorHAnsi" w:hAnsiTheme="minorHAnsi"/>
          <w:sz w:val="20"/>
          <w:szCs w:val="20"/>
        </w:rPr>
        <w:t>In order to</w:t>
      </w:r>
      <w:proofErr w:type="gramEnd"/>
      <w:r w:rsidR="00873159" w:rsidRPr="00072E1C">
        <w:rPr>
          <w:rFonts w:asciiTheme="minorHAnsi" w:hAnsiTheme="minorHAnsi"/>
          <w:sz w:val="20"/>
          <w:szCs w:val="20"/>
        </w:rPr>
        <w:t xml:space="preserve"> determine your eligibility for residency, we will obtain information related to a consumer credit report, check writing history, eviction and/or judgments (including filed cases), criminal history, rental history and income verification.</w:t>
      </w:r>
      <w:r w:rsidR="008C1DA9" w:rsidRPr="00072E1C">
        <w:rPr>
          <w:rFonts w:asciiTheme="minorHAnsi" w:hAnsiTheme="minorHAnsi"/>
          <w:sz w:val="20"/>
          <w:szCs w:val="20"/>
        </w:rPr>
        <w:t xml:space="preserve"> </w:t>
      </w:r>
      <w:r w:rsidR="00873159" w:rsidRPr="00072E1C">
        <w:rPr>
          <w:rFonts w:asciiTheme="minorHAnsi" w:hAnsiTheme="minorHAnsi"/>
          <w:sz w:val="20"/>
          <w:szCs w:val="20"/>
        </w:rPr>
        <w:t xml:space="preserve">If the screening report returns with information contrary to our standards of qualification, an </w:t>
      </w:r>
      <w:r w:rsidR="00873159" w:rsidRPr="00072E1C">
        <w:rPr>
          <w:rFonts w:asciiTheme="minorHAnsi" w:hAnsiTheme="minorHAnsi"/>
          <w:i/>
          <w:sz w:val="20"/>
          <w:szCs w:val="20"/>
        </w:rPr>
        <w:t>Adverse Action Letter</w:t>
      </w:r>
      <w:r w:rsidR="00873159" w:rsidRPr="00072E1C">
        <w:rPr>
          <w:rFonts w:asciiTheme="minorHAnsi" w:hAnsiTheme="minorHAnsi"/>
          <w:sz w:val="20"/>
          <w:szCs w:val="20"/>
        </w:rPr>
        <w:t xml:space="preserve"> will be mailed promptly.</w:t>
      </w:r>
      <w:r w:rsidR="008C1DA9" w:rsidRPr="00072E1C">
        <w:rPr>
          <w:rFonts w:asciiTheme="minorHAnsi" w:hAnsiTheme="minorHAnsi"/>
          <w:sz w:val="20"/>
          <w:szCs w:val="20"/>
        </w:rPr>
        <w:t xml:space="preserve"> </w:t>
      </w:r>
      <w:r w:rsidR="00873159" w:rsidRPr="00072E1C">
        <w:rPr>
          <w:rFonts w:asciiTheme="minorHAnsi" w:hAnsiTheme="minorHAnsi"/>
          <w:sz w:val="20"/>
          <w:szCs w:val="20"/>
        </w:rPr>
        <w:t xml:space="preserve">The Adverse Action Letter will supply information for the decisions involved in the </w:t>
      </w:r>
      <w:proofErr w:type="gramStart"/>
      <w:r w:rsidR="00873159" w:rsidRPr="00072E1C">
        <w:rPr>
          <w:rFonts w:asciiTheme="minorHAnsi" w:hAnsiTheme="minorHAnsi"/>
          <w:sz w:val="20"/>
          <w:szCs w:val="20"/>
        </w:rPr>
        <w:t>final outcome</w:t>
      </w:r>
      <w:proofErr w:type="gramEnd"/>
      <w:r w:rsidR="00873159" w:rsidRPr="00072E1C">
        <w:rPr>
          <w:rFonts w:asciiTheme="minorHAnsi" w:hAnsiTheme="minorHAnsi"/>
          <w:sz w:val="20"/>
          <w:szCs w:val="20"/>
        </w:rPr>
        <w:t xml:space="preserve"> of the application status, as well as how to obtain a free credit report from one or more of the major consumer reporting agencies listed below:</w:t>
      </w:r>
      <w:r w:rsidR="009C1270" w:rsidRPr="00072E1C">
        <w:rPr>
          <w:rFonts w:asciiTheme="minorHAnsi" w:hAnsiTheme="minorHAnsi"/>
          <w:sz w:val="20"/>
          <w:szCs w:val="20"/>
        </w:rPr>
        <w:br/>
      </w:r>
    </w:p>
    <w:tbl>
      <w:tblPr>
        <w:tblW w:w="8460" w:type="dxa"/>
        <w:tblCellSpacing w:w="15" w:type="dxa"/>
        <w:tblInd w:w="60"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584"/>
        <w:gridCol w:w="1677"/>
        <w:gridCol w:w="1853"/>
        <w:gridCol w:w="3346"/>
      </w:tblGrid>
      <w:tr w:rsidR="009C1270" w:rsidRPr="00072E1C" w14:paraId="4E02A5FD" w14:textId="77777777" w:rsidTr="00912248">
        <w:trPr>
          <w:trHeight w:val="1263"/>
          <w:tblCellSpacing w:w="15" w:type="dxa"/>
        </w:trPr>
        <w:tc>
          <w:tcPr>
            <w:tcW w:w="1539" w:type="dxa"/>
            <w:tcBorders>
              <w:top w:val="outset" w:sz="6" w:space="0" w:color="auto"/>
              <w:left w:val="outset" w:sz="6" w:space="0" w:color="auto"/>
              <w:bottom w:val="outset" w:sz="6" w:space="0" w:color="auto"/>
              <w:right w:val="outset" w:sz="6" w:space="0" w:color="auto"/>
            </w:tcBorders>
            <w:vAlign w:val="center"/>
            <w:hideMark/>
          </w:tcPr>
          <w:p w14:paraId="3A2E2F2C" w14:textId="77777777" w:rsidR="008C1DA9" w:rsidRPr="00072E1C" w:rsidRDefault="008C1DA9" w:rsidP="00912248">
            <w:pPr>
              <w:ind w:right="-261"/>
              <w:rPr>
                <w:rFonts w:asciiTheme="minorHAnsi" w:hAnsiTheme="minorHAnsi"/>
                <w:sz w:val="20"/>
                <w:szCs w:val="20"/>
              </w:rPr>
            </w:pPr>
            <w:r w:rsidRPr="00072E1C">
              <w:rPr>
                <w:rFonts w:asciiTheme="minorHAnsi" w:hAnsiTheme="minorHAnsi"/>
                <w:sz w:val="20"/>
                <w:szCs w:val="20"/>
              </w:rPr>
              <w:lastRenderedPageBreak/>
              <w:t>Equifax </w:t>
            </w:r>
            <w:r w:rsidRPr="00072E1C">
              <w:rPr>
                <w:rFonts w:asciiTheme="minorHAnsi" w:hAnsiTheme="minorHAnsi"/>
                <w:sz w:val="20"/>
                <w:szCs w:val="20"/>
              </w:rPr>
              <w:br/>
              <w:t>P.O. Box 105873</w:t>
            </w:r>
            <w:r w:rsidRPr="00072E1C">
              <w:rPr>
                <w:rFonts w:asciiTheme="minorHAnsi" w:hAnsiTheme="minorHAnsi"/>
                <w:sz w:val="20"/>
                <w:szCs w:val="20"/>
              </w:rPr>
              <w:br/>
              <w:t>Atlanta, GA 30348</w:t>
            </w:r>
            <w:r w:rsidRPr="00072E1C">
              <w:rPr>
                <w:rFonts w:asciiTheme="minorHAnsi" w:hAnsiTheme="minorHAnsi"/>
                <w:sz w:val="20"/>
                <w:szCs w:val="20"/>
              </w:rPr>
              <w:br/>
              <w:t>(800) 685-1111</w:t>
            </w:r>
            <w:r w:rsidRPr="00072E1C">
              <w:rPr>
                <w:rFonts w:asciiTheme="minorHAnsi" w:hAnsiTheme="minorHAnsi"/>
                <w:sz w:val="20"/>
                <w:szCs w:val="20"/>
              </w:rPr>
              <w:br/>
              <w:t>www.equifax.com</w:t>
            </w:r>
          </w:p>
        </w:tc>
        <w:tc>
          <w:tcPr>
            <w:tcW w:w="1647" w:type="dxa"/>
            <w:tcBorders>
              <w:top w:val="outset" w:sz="6" w:space="0" w:color="auto"/>
              <w:left w:val="outset" w:sz="6" w:space="0" w:color="auto"/>
              <w:bottom w:val="outset" w:sz="6" w:space="0" w:color="auto"/>
              <w:right w:val="outset" w:sz="6" w:space="0" w:color="auto"/>
            </w:tcBorders>
            <w:vAlign w:val="center"/>
            <w:hideMark/>
          </w:tcPr>
          <w:p w14:paraId="18D470F8" w14:textId="77777777" w:rsidR="008C1DA9" w:rsidRPr="00072E1C" w:rsidRDefault="008C1DA9" w:rsidP="008C1DA9">
            <w:pPr>
              <w:rPr>
                <w:rFonts w:asciiTheme="minorHAnsi" w:hAnsiTheme="minorHAnsi"/>
                <w:sz w:val="20"/>
                <w:szCs w:val="20"/>
              </w:rPr>
            </w:pPr>
            <w:r w:rsidRPr="00072E1C">
              <w:rPr>
                <w:rFonts w:asciiTheme="minorHAnsi" w:hAnsiTheme="minorHAnsi"/>
                <w:sz w:val="20"/>
                <w:szCs w:val="20"/>
              </w:rPr>
              <w:t>Experian </w:t>
            </w:r>
            <w:r w:rsidRPr="00072E1C">
              <w:rPr>
                <w:rFonts w:asciiTheme="minorHAnsi" w:hAnsiTheme="minorHAnsi"/>
                <w:sz w:val="20"/>
                <w:szCs w:val="20"/>
              </w:rPr>
              <w:br/>
              <w:t>P.O. Box 2103</w:t>
            </w:r>
            <w:r w:rsidRPr="00072E1C">
              <w:rPr>
                <w:rFonts w:asciiTheme="minorHAnsi" w:hAnsiTheme="minorHAnsi"/>
                <w:sz w:val="20"/>
                <w:szCs w:val="20"/>
              </w:rPr>
              <w:br/>
              <w:t>Allen, TX 75013</w:t>
            </w:r>
            <w:r w:rsidRPr="00072E1C">
              <w:rPr>
                <w:rFonts w:asciiTheme="minorHAnsi" w:hAnsiTheme="minorHAnsi"/>
                <w:sz w:val="20"/>
                <w:szCs w:val="20"/>
              </w:rPr>
              <w:br/>
              <w:t>(888) 397-3742</w:t>
            </w:r>
            <w:r w:rsidRPr="00072E1C">
              <w:rPr>
                <w:rFonts w:asciiTheme="minorHAnsi" w:hAnsiTheme="minorHAnsi"/>
                <w:sz w:val="20"/>
                <w:szCs w:val="20"/>
              </w:rPr>
              <w:br/>
              <w:t>www.experian.com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EA699" w14:textId="77777777" w:rsidR="008C1DA9" w:rsidRPr="00072E1C" w:rsidRDefault="008C1DA9" w:rsidP="008C1DA9">
            <w:pPr>
              <w:rPr>
                <w:rFonts w:asciiTheme="minorHAnsi" w:hAnsiTheme="minorHAnsi"/>
                <w:sz w:val="20"/>
                <w:szCs w:val="20"/>
              </w:rPr>
            </w:pPr>
            <w:r w:rsidRPr="00072E1C">
              <w:rPr>
                <w:rFonts w:asciiTheme="minorHAnsi" w:hAnsiTheme="minorHAnsi"/>
                <w:sz w:val="20"/>
                <w:szCs w:val="20"/>
              </w:rPr>
              <w:t>Trans Union </w:t>
            </w:r>
            <w:r w:rsidRPr="00072E1C">
              <w:rPr>
                <w:rFonts w:asciiTheme="minorHAnsi" w:hAnsiTheme="minorHAnsi"/>
                <w:sz w:val="20"/>
                <w:szCs w:val="20"/>
              </w:rPr>
              <w:br/>
              <w:t>P.O. Box 390</w:t>
            </w:r>
            <w:r w:rsidRPr="00072E1C">
              <w:rPr>
                <w:rFonts w:asciiTheme="minorHAnsi" w:hAnsiTheme="minorHAnsi"/>
                <w:sz w:val="20"/>
                <w:szCs w:val="20"/>
              </w:rPr>
              <w:br/>
              <w:t>Springfield, PA 19064</w:t>
            </w:r>
            <w:r w:rsidRPr="00072E1C">
              <w:rPr>
                <w:rFonts w:asciiTheme="minorHAnsi" w:hAnsiTheme="minorHAnsi"/>
                <w:sz w:val="20"/>
                <w:szCs w:val="20"/>
              </w:rPr>
              <w:br/>
              <w:t>(800) 916-8800</w:t>
            </w:r>
            <w:r w:rsidRPr="00072E1C">
              <w:rPr>
                <w:rFonts w:asciiTheme="minorHAnsi" w:hAnsiTheme="minorHAnsi"/>
                <w:sz w:val="20"/>
                <w:szCs w:val="20"/>
              </w:rPr>
              <w:br/>
              <w:t>www.transunion.com</w:t>
            </w:r>
          </w:p>
        </w:tc>
        <w:tc>
          <w:tcPr>
            <w:tcW w:w="3301" w:type="dxa"/>
            <w:tcBorders>
              <w:top w:val="outset" w:sz="6" w:space="0" w:color="auto"/>
              <w:left w:val="outset" w:sz="6" w:space="0" w:color="auto"/>
              <w:bottom w:val="outset" w:sz="6" w:space="0" w:color="auto"/>
              <w:right w:val="outset" w:sz="6" w:space="0" w:color="auto"/>
            </w:tcBorders>
            <w:vAlign w:val="center"/>
            <w:hideMark/>
          </w:tcPr>
          <w:p w14:paraId="4C4A0084" w14:textId="77777777" w:rsidR="008C1DA9" w:rsidRPr="00072E1C" w:rsidRDefault="008C1DA9" w:rsidP="008C1DA9">
            <w:pPr>
              <w:rPr>
                <w:rFonts w:asciiTheme="minorHAnsi" w:hAnsiTheme="minorHAnsi"/>
                <w:sz w:val="20"/>
                <w:szCs w:val="20"/>
              </w:rPr>
            </w:pPr>
            <w:r w:rsidRPr="00072E1C">
              <w:rPr>
                <w:rFonts w:asciiTheme="minorHAnsi" w:hAnsiTheme="minorHAnsi"/>
                <w:sz w:val="20"/>
                <w:szCs w:val="20"/>
              </w:rPr>
              <w:t>RealPage, Inc.</w:t>
            </w:r>
            <w:r w:rsidRPr="00072E1C">
              <w:rPr>
                <w:rFonts w:asciiTheme="minorHAnsi" w:hAnsiTheme="minorHAnsi"/>
                <w:sz w:val="20"/>
                <w:szCs w:val="20"/>
              </w:rPr>
              <w:br/>
              <w:t>4000 International Pkwy</w:t>
            </w:r>
            <w:r w:rsidRPr="00072E1C">
              <w:rPr>
                <w:rFonts w:asciiTheme="minorHAnsi" w:hAnsiTheme="minorHAnsi"/>
                <w:sz w:val="20"/>
                <w:szCs w:val="20"/>
              </w:rPr>
              <w:br/>
              <w:t>Carrollton, TX 75007</w:t>
            </w:r>
            <w:r w:rsidRPr="00072E1C">
              <w:rPr>
                <w:rFonts w:asciiTheme="minorHAnsi" w:hAnsiTheme="minorHAnsi"/>
                <w:sz w:val="20"/>
                <w:szCs w:val="20"/>
              </w:rPr>
              <w:br/>
              <w:t>(866) 934-1124</w:t>
            </w:r>
            <w:r w:rsidRPr="00072E1C">
              <w:rPr>
                <w:rFonts w:asciiTheme="minorHAnsi" w:hAnsiTheme="minorHAnsi"/>
                <w:sz w:val="20"/>
                <w:szCs w:val="20"/>
              </w:rPr>
              <w:br/>
              <w:t>www.realpage.com/consumer-dispute</w:t>
            </w:r>
          </w:p>
        </w:tc>
      </w:tr>
    </w:tbl>
    <w:p w14:paraId="7028ACF4" w14:textId="275CF413" w:rsidR="00571EBE" w:rsidRPr="000D2B5A" w:rsidRDefault="00847381" w:rsidP="00571EBE">
      <w:pPr>
        <w:pStyle w:val="BodyText"/>
        <w:contextualSpacing/>
        <w:rPr>
          <w:rFonts w:ascii="Calibri" w:hAnsi="Calibri"/>
          <w:b w:val="0"/>
          <w:bCs/>
          <w:szCs w:val="20"/>
        </w:rPr>
      </w:pPr>
      <w:r w:rsidRPr="00072E1C">
        <w:rPr>
          <w:rFonts w:asciiTheme="minorHAnsi" w:hAnsiTheme="minorHAnsi"/>
          <w:szCs w:val="20"/>
        </w:rPr>
        <w:br/>
      </w:r>
      <w:r w:rsidR="00571EBE" w:rsidRPr="000D2B5A">
        <w:rPr>
          <w:rFonts w:ascii="Calibri" w:hAnsi="Calibri"/>
          <w:b w:val="0"/>
          <w:bCs/>
          <w:szCs w:val="20"/>
        </w:rPr>
        <w:t xml:space="preserve">I declare that all statements in the Application, whether on paper or through online processes, are true and complete. You authorize us to verify your information through any means, including, but not limited to, consumer-reporting agencies and other rental-housing owners. You acknowledge you have been given the opportunity to review all the above Rental Requirements, which includes reasons your Application may </w:t>
      </w:r>
      <w:r w:rsidR="00C56EB8">
        <w:rPr>
          <w:rFonts w:ascii="Calibri" w:hAnsi="Calibri"/>
          <w:b w:val="0"/>
          <w:bCs/>
          <w:szCs w:val="20"/>
        </w:rPr>
        <w:t xml:space="preserve">be </w:t>
      </w:r>
      <w:r w:rsidR="00571EBE" w:rsidRPr="000D2B5A">
        <w:rPr>
          <w:rFonts w:ascii="Calibri" w:hAnsi="Calibri"/>
          <w:b w:val="0"/>
          <w:bCs/>
          <w:szCs w:val="20"/>
        </w:rPr>
        <w:t xml:space="preserve">denied, such as credit history, current </w:t>
      </w:r>
      <w:r w:rsidR="00C23572" w:rsidRPr="000D2B5A">
        <w:rPr>
          <w:rFonts w:ascii="Calibri" w:hAnsi="Calibri"/>
          <w:b w:val="0"/>
          <w:bCs/>
          <w:szCs w:val="20"/>
        </w:rPr>
        <w:t>income,</w:t>
      </w:r>
      <w:r w:rsidR="00571EBE" w:rsidRPr="000D2B5A">
        <w:rPr>
          <w:rFonts w:ascii="Calibri" w:hAnsi="Calibri"/>
          <w:b w:val="0"/>
          <w:bCs/>
          <w:szCs w:val="20"/>
        </w:rPr>
        <w:t xml:space="preserve"> and rental history. You understand that if you fail to answer any question or give false information, your Application will be denied and any application fees and holding deposits will be forfeited as liquidated damages for our time and expense, and you terminate your right of occupancy. Giving false information is a criminal offense and we may at any time furnish both favorable and unfavorable information to law enforcement regarding your performance of your financial and legal obligations under the Application and/or Lease Contract.</w:t>
      </w:r>
    </w:p>
    <w:p w14:paraId="637FF743" w14:textId="77777777" w:rsidR="00571EBE" w:rsidRPr="000D2B5A" w:rsidRDefault="00571EBE" w:rsidP="00571EBE">
      <w:pPr>
        <w:pStyle w:val="BodyText"/>
        <w:contextualSpacing/>
        <w:rPr>
          <w:rFonts w:ascii="Calibri" w:hAnsi="Calibri"/>
          <w:b w:val="0"/>
          <w:bCs/>
          <w:szCs w:val="20"/>
        </w:rPr>
      </w:pPr>
    </w:p>
    <w:p w14:paraId="3F3DB176" w14:textId="77777777" w:rsidR="00571EBE" w:rsidRPr="000D2B5A" w:rsidRDefault="00571EBE" w:rsidP="00571EBE">
      <w:pPr>
        <w:pStyle w:val="BodyText"/>
        <w:contextualSpacing/>
        <w:rPr>
          <w:rFonts w:ascii="Calibri" w:hAnsi="Calibri"/>
          <w:b w:val="0"/>
          <w:bCs/>
          <w:szCs w:val="20"/>
        </w:rPr>
      </w:pPr>
      <w:r w:rsidRPr="000D2B5A">
        <w:rPr>
          <w:rFonts w:ascii="Calibri" w:hAnsi="Calibri"/>
          <w:b w:val="0"/>
          <w:bCs/>
          <w:szCs w:val="20"/>
        </w:rPr>
        <w:t xml:space="preserve">Images on our website may represent a sample of a unit and may not reflect specific details of any unit. For information not found on our website regarding availability, unit characteristics or other questions, please call or visit our office.  </w:t>
      </w:r>
    </w:p>
    <w:p w14:paraId="3CCDD9D4" w14:textId="77777777" w:rsidR="00571EBE" w:rsidRPr="000D2B5A" w:rsidRDefault="00571EBE" w:rsidP="00571EBE">
      <w:pPr>
        <w:pStyle w:val="BodyText"/>
        <w:contextualSpacing/>
        <w:rPr>
          <w:rFonts w:ascii="Calibri" w:hAnsi="Calibri"/>
          <w:szCs w:val="20"/>
        </w:rPr>
      </w:pPr>
    </w:p>
    <w:sectPr w:rsidR="00571EBE" w:rsidRPr="000D2B5A" w:rsidSect="00912248">
      <w:footerReference w:type="default" r:id="rId8"/>
      <w:pgSz w:w="12240" w:h="15840" w:code="1"/>
      <w:pgMar w:top="720"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DCB5F" w14:textId="77777777" w:rsidR="00C55F31" w:rsidRDefault="00C55F31" w:rsidP="00D9643E">
      <w:r>
        <w:separator/>
      </w:r>
    </w:p>
  </w:endnote>
  <w:endnote w:type="continuationSeparator" w:id="0">
    <w:p w14:paraId="36B2E97A" w14:textId="77777777" w:rsidR="00C55F31" w:rsidRDefault="00C55F31" w:rsidP="00D9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9653" w14:textId="483C8555" w:rsidR="00EB5EFA" w:rsidRPr="00407A84" w:rsidRDefault="00EB5EFA">
    <w:pPr>
      <w:pStyle w:val="Footer"/>
      <w:rPr>
        <w:rFonts w:asciiTheme="minorHAnsi" w:hAnsiTheme="minorHAnsi"/>
        <w:sz w:val="20"/>
        <w:szCs w:val="20"/>
      </w:rPr>
    </w:pPr>
    <w:r w:rsidRPr="00407A84">
      <w:rPr>
        <w:rFonts w:asciiTheme="minorHAnsi" w:hAnsiTheme="minorHAnsi"/>
        <w:sz w:val="20"/>
        <w:szCs w:val="20"/>
      </w:rPr>
      <w:t xml:space="preserve">General Rental Requirements </w:t>
    </w:r>
    <w:r w:rsidR="00571EBE">
      <w:rPr>
        <w:rFonts w:asciiTheme="minorHAnsi" w:hAnsiTheme="minorHAnsi"/>
        <w:sz w:val="20"/>
        <w:szCs w:val="20"/>
      </w:rPr>
      <w:t>0</w:t>
    </w:r>
    <w:r w:rsidR="00C23572">
      <w:rPr>
        <w:rFonts w:asciiTheme="minorHAnsi" w:hAnsiTheme="minorHAnsi"/>
        <w:sz w:val="20"/>
        <w:szCs w:val="20"/>
      </w:rPr>
      <w:t>6</w:t>
    </w:r>
    <w:r w:rsidR="00571EBE">
      <w:rPr>
        <w:rFonts w:asciiTheme="minorHAnsi" w:hAnsiTheme="minorHAnsi"/>
        <w:sz w:val="20"/>
        <w:szCs w:val="20"/>
      </w:rPr>
      <w:t>/</w:t>
    </w:r>
    <w:r w:rsidR="00B242CA">
      <w:rPr>
        <w:rFonts w:asciiTheme="minorHAnsi" w:hAnsiTheme="minorHAnsi"/>
        <w:sz w:val="20"/>
        <w:szCs w:val="20"/>
      </w:rPr>
      <w:t>29</w:t>
    </w:r>
    <w:r w:rsidR="00C23572">
      <w:rPr>
        <w:rFonts w:asciiTheme="minorHAnsi" w:hAnsiTheme="minorHAnsi"/>
        <w:sz w:val="20"/>
        <w:szCs w:val="20"/>
      </w:rPr>
      <w:t>/</w:t>
    </w:r>
    <w:r w:rsidR="00571EBE">
      <w:rPr>
        <w:rFonts w:asciiTheme="minorHAnsi" w:hAnsiTheme="minorHAnsi"/>
        <w:sz w:val="20"/>
        <w:szCs w:val="20"/>
      </w:rPr>
      <w:t>2020</w:t>
    </w:r>
  </w:p>
  <w:p w14:paraId="421CA094" w14:textId="77777777" w:rsidR="00EB5EFA" w:rsidRDefault="00EB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961B9" w14:textId="77777777" w:rsidR="00C55F31" w:rsidRDefault="00C55F31" w:rsidP="00D9643E">
      <w:r>
        <w:separator/>
      </w:r>
    </w:p>
  </w:footnote>
  <w:footnote w:type="continuationSeparator" w:id="0">
    <w:p w14:paraId="2E492CF1" w14:textId="77777777" w:rsidR="00C55F31" w:rsidRDefault="00C55F31" w:rsidP="00D9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C03"/>
    <w:multiLevelType w:val="singleLevel"/>
    <w:tmpl w:val="2BB64722"/>
    <w:lvl w:ilvl="0">
      <w:start w:val="1"/>
      <w:numFmt w:val="bullet"/>
      <w:lvlText w:val=""/>
      <w:lvlJc w:val="left"/>
      <w:pPr>
        <w:tabs>
          <w:tab w:val="num" w:pos="0"/>
        </w:tabs>
        <w:ind w:left="1080" w:hanging="360"/>
      </w:pPr>
      <w:rPr>
        <w:rFonts w:ascii="Symbol" w:hAnsi="Symbol" w:hint="default"/>
      </w:rPr>
    </w:lvl>
  </w:abstractNum>
  <w:abstractNum w:abstractNumId="1" w15:restartNumberingAfterBreak="0">
    <w:nsid w:val="19D64B00"/>
    <w:multiLevelType w:val="singleLevel"/>
    <w:tmpl w:val="2BB64722"/>
    <w:lvl w:ilvl="0">
      <w:start w:val="1"/>
      <w:numFmt w:val="bullet"/>
      <w:lvlText w:val=""/>
      <w:lvlJc w:val="left"/>
      <w:pPr>
        <w:tabs>
          <w:tab w:val="num" w:pos="0"/>
        </w:tabs>
        <w:ind w:left="1080" w:hanging="360"/>
      </w:pPr>
      <w:rPr>
        <w:rFonts w:ascii="Symbol" w:hAnsi="Symbol" w:hint="default"/>
      </w:rPr>
    </w:lvl>
  </w:abstractNum>
  <w:abstractNum w:abstractNumId="2" w15:restartNumberingAfterBreak="0">
    <w:nsid w:val="250725A3"/>
    <w:multiLevelType w:val="multilevel"/>
    <w:tmpl w:val="F2A8B37E"/>
    <w:lvl w:ilvl="0">
      <w:start w:val="1"/>
      <w:numFmt w:val="upperRoman"/>
      <w:lvlText w:val="%1."/>
      <w:lvlJc w:val="right"/>
      <w:pPr>
        <w:tabs>
          <w:tab w:val="num" w:pos="720"/>
        </w:tabs>
        <w:ind w:left="288" w:hanging="288"/>
      </w:pPr>
      <w:rPr>
        <w:rFonts w:hint="default"/>
        <w:b/>
        <w:i w:val="0"/>
        <w:sz w:val="18"/>
        <w:u w:val="none"/>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3" w15:restartNumberingAfterBreak="0">
    <w:nsid w:val="2C35293C"/>
    <w:multiLevelType w:val="singleLevel"/>
    <w:tmpl w:val="2BB64722"/>
    <w:lvl w:ilvl="0">
      <w:start w:val="1"/>
      <w:numFmt w:val="bullet"/>
      <w:lvlText w:val=""/>
      <w:lvlJc w:val="left"/>
      <w:pPr>
        <w:tabs>
          <w:tab w:val="num" w:pos="0"/>
        </w:tabs>
        <w:ind w:left="1080" w:hanging="360"/>
      </w:pPr>
      <w:rPr>
        <w:rFonts w:ascii="Symbol" w:hAnsi="Symbol" w:hint="default"/>
      </w:rPr>
    </w:lvl>
  </w:abstractNum>
  <w:abstractNum w:abstractNumId="4" w15:restartNumberingAfterBreak="0">
    <w:nsid w:val="3C4E4B69"/>
    <w:multiLevelType w:val="singleLevel"/>
    <w:tmpl w:val="81B4509E"/>
    <w:lvl w:ilvl="0">
      <w:start w:val="1"/>
      <w:numFmt w:val="upperLetter"/>
      <w:lvlText w:val="%1."/>
      <w:lvlJc w:val="left"/>
      <w:pPr>
        <w:tabs>
          <w:tab w:val="num" w:pos="648"/>
        </w:tabs>
        <w:ind w:left="648" w:hanging="360"/>
      </w:pPr>
      <w:rPr>
        <w:rFonts w:hint="default"/>
      </w:rPr>
    </w:lvl>
  </w:abstractNum>
  <w:abstractNum w:abstractNumId="5" w15:restartNumberingAfterBreak="0">
    <w:nsid w:val="71227E9D"/>
    <w:multiLevelType w:val="hybridMultilevel"/>
    <w:tmpl w:val="1784900E"/>
    <w:lvl w:ilvl="0" w:tplc="13CA81E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2"/>
    <w:lvlOverride w:ilvl="0">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Q2tjCyMLI0MDKxMDBQ0lEKTi0uzszPAykwrAUA/gUOqCwAAAA="/>
  </w:docVars>
  <w:rsids>
    <w:rsidRoot w:val="007364FC"/>
    <w:rsid w:val="00001DDB"/>
    <w:rsid w:val="000117CE"/>
    <w:rsid w:val="00012374"/>
    <w:rsid w:val="0002342B"/>
    <w:rsid w:val="0006461E"/>
    <w:rsid w:val="00067FE6"/>
    <w:rsid w:val="00072E1C"/>
    <w:rsid w:val="000746C4"/>
    <w:rsid w:val="00077E5B"/>
    <w:rsid w:val="00086CE8"/>
    <w:rsid w:val="000D2B5A"/>
    <w:rsid w:val="00180751"/>
    <w:rsid w:val="00193A00"/>
    <w:rsid w:val="001E12DD"/>
    <w:rsid w:val="001F07C2"/>
    <w:rsid w:val="0022045F"/>
    <w:rsid w:val="00222B0E"/>
    <w:rsid w:val="002305A2"/>
    <w:rsid w:val="002F2F99"/>
    <w:rsid w:val="00331485"/>
    <w:rsid w:val="00371310"/>
    <w:rsid w:val="00385D6A"/>
    <w:rsid w:val="003F1301"/>
    <w:rsid w:val="00407A84"/>
    <w:rsid w:val="00422A6E"/>
    <w:rsid w:val="00435C0D"/>
    <w:rsid w:val="00441758"/>
    <w:rsid w:val="004553E3"/>
    <w:rsid w:val="0046085C"/>
    <w:rsid w:val="004C017F"/>
    <w:rsid w:val="004D4C58"/>
    <w:rsid w:val="004D7D05"/>
    <w:rsid w:val="004E4646"/>
    <w:rsid w:val="004F5BBE"/>
    <w:rsid w:val="005119E2"/>
    <w:rsid w:val="005556FB"/>
    <w:rsid w:val="00571EBE"/>
    <w:rsid w:val="005B2016"/>
    <w:rsid w:val="00677FBF"/>
    <w:rsid w:val="006878DE"/>
    <w:rsid w:val="00693C79"/>
    <w:rsid w:val="006B2960"/>
    <w:rsid w:val="006B5639"/>
    <w:rsid w:val="007048A7"/>
    <w:rsid w:val="00723B80"/>
    <w:rsid w:val="007364FC"/>
    <w:rsid w:val="0075453B"/>
    <w:rsid w:val="007678A6"/>
    <w:rsid w:val="00797AC5"/>
    <w:rsid w:val="007B54A5"/>
    <w:rsid w:val="007E3938"/>
    <w:rsid w:val="007E7FDE"/>
    <w:rsid w:val="007F22B9"/>
    <w:rsid w:val="007F26D3"/>
    <w:rsid w:val="007F31D6"/>
    <w:rsid w:val="00817C4B"/>
    <w:rsid w:val="00834158"/>
    <w:rsid w:val="00847381"/>
    <w:rsid w:val="00864B95"/>
    <w:rsid w:val="00873159"/>
    <w:rsid w:val="008854D5"/>
    <w:rsid w:val="008B59C0"/>
    <w:rsid w:val="008C1DA9"/>
    <w:rsid w:val="008D7FFD"/>
    <w:rsid w:val="008E41BC"/>
    <w:rsid w:val="00912248"/>
    <w:rsid w:val="0093327B"/>
    <w:rsid w:val="00940EAA"/>
    <w:rsid w:val="00996B85"/>
    <w:rsid w:val="009C1270"/>
    <w:rsid w:val="009D4624"/>
    <w:rsid w:val="00A02BAA"/>
    <w:rsid w:val="00A05DBD"/>
    <w:rsid w:val="00A60AD5"/>
    <w:rsid w:val="00A637FD"/>
    <w:rsid w:val="00A65859"/>
    <w:rsid w:val="00A9292F"/>
    <w:rsid w:val="00AA32EE"/>
    <w:rsid w:val="00AA70A8"/>
    <w:rsid w:val="00AC2A83"/>
    <w:rsid w:val="00AE04C5"/>
    <w:rsid w:val="00AF67FE"/>
    <w:rsid w:val="00B242CA"/>
    <w:rsid w:val="00B93FA7"/>
    <w:rsid w:val="00B95812"/>
    <w:rsid w:val="00BC238F"/>
    <w:rsid w:val="00BE3AB3"/>
    <w:rsid w:val="00C009D8"/>
    <w:rsid w:val="00C1220D"/>
    <w:rsid w:val="00C12316"/>
    <w:rsid w:val="00C21C5F"/>
    <w:rsid w:val="00C23572"/>
    <w:rsid w:val="00C25DBE"/>
    <w:rsid w:val="00C43AB4"/>
    <w:rsid w:val="00C5140E"/>
    <w:rsid w:val="00C55F31"/>
    <w:rsid w:val="00C56EB8"/>
    <w:rsid w:val="00C64C2F"/>
    <w:rsid w:val="00C73217"/>
    <w:rsid w:val="00CB1607"/>
    <w:rsid w:val="00CE45BF"/>
    <w:rsid w:val="00CF6C59"/>
    <w:rsid w:val="00D00620"/>
    <w:rsid w:val="00D270B6"/>
    <w:rsid w:val="00D75C7D"/>
    <w:rsid w:val="00D84533"/>
    <w:rsid w:val="00D9643E"/>
    <w:rsid w:val="00DB1EF3"/>
    <w:rsid w:val="00DC2264"/>
    <w:rsid w:val="00DF5ECF"/>
    <w:rsid w:val="00E01D7F"/>
    <w:rsid w:val="00E11B55"/>
    <w:rsid w:val="00E2147B"/>
    <w:rsid w:val="00EB5EFA"/>
    <w:rsid w:val="00EC7FA6"/>
    <w:rsid w:val="00F26C9B"/>
    <w:rsid w:val="00F4763B"/>
    <w:rsid w:val="00FB5AFE"/>
    <w:rsid w:val="00FC76C2"/>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042F9"/>
  <w15:docId w15:val="{180CC964-8C25-43F9-A93A-88373907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64FC"/>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4FC"/>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7364FC"/>
    <w:pPr>
      <w:ind w:left="1080"/>
    </w:pPr>
  </w:style>
  <w:style w:type="character" w:customStyle="1" w:styleId="BodyTextIndentChar">
    <w:name w:val="Body Text Indent Char"/>
    <w:basedOn w:val="DefaultParagraphFont"/>
    <w:link w:val="BodyTextIndent"/>
    <w:semiHidden/>
    <w:rsid w:val="007364FC"/>
    <w:rPr>
      <w:rFonts w:ascii="Times New Roman" w:eastAsia="Times New Roman" w:hAnsi="Times New Roman" w:cs="Times New Roman"/>
      <w:sz w:val="24"/>
      <w:szCs w:val="24"/>
    </w:rPr>
  </w:style>
  <w:style w:type="paragraph" w:styleId="BodyText">
    <w:name w:val="Body Text"/>
    <w:basedOn w:val="Normal"/>
    <w:link w:val="BodyTextChar"/>
    <w:semiHidden/>
    <w:rsid w:val="007364FC"/>
    <w:rPr>
      <w:b/>
      <w:sz w:val="20"/>
    </w:rPr>
  </w:style>
  <w:style w:type="character" w:customStyle="1" w:styleId="BodyTextChar">
    <w:name w:val="Body Text Char"/>
    <w:basedOn w:val="DefaultParagraphFont"/>
    <w:link w:val="BodyText"/>
    <w:semiHidden/>
    <w:rsid w:val="007364FC"/>
    <w:rPr>
      <w:rFonts w:ascii="Times New Roman" w:eastAsia="Times New Roman" w:hAnsi="Times New Roman" w:cs="Times New Roman"/>
      <w:b/>
      <w:sz w:val="20"/>
      <w:szCs w:val="24"/>
    </w:rPr>
  </w:style>
  <w:style w:type="character" w:styleId="Hyperlink">
    <w:name w:val="Hyperlink"/>
    <w:basedOn w:val="DefaultParagraphFont"/>
    <w:uiPriority w:val="99"/>
    <w:unhideWhenUsed/>
    <w:rsid w:val="007364FC"/>
    <w:rPr>
      <w:color w:val="0000FF" w:themeColor="hyperlink"/>
      <w:u w:val="single"/>
    </w:rPr>
  </w:style>
  <w:style w:type="paragraph" w:styleId="ListParagraph">
    <w:name w:val="List Paragraph"/>
    <w:basedOn w:val="Normal"/>
    <w:uiPriority w:val="34"/>
    <w:qFormat/>
    <w:rsid w:val="007364FC"/>
    <w:pPr>
      <w:ind w:left="720"/>
      <w:contextualSpacing/>
    </w:pPr>
  </w:style>
  <w:style w:type="paragraph" w:styleId="Header">
    <w:name w:val="header"/>
    <w:basedOn w:val="Normal"/>
    <w:link w:val="HeaderChar"/>
    <w:uiPriority w:val="99"/>
    <w:unhideWhenUsed/>
    <w:rsid w:val="00D9643E"/>
    <w:pPr>
      <w:tabs>
        <w:tab w:val="center" w:pos="4680"/>
        <w:tab w:val="right" w:pos="9360"/>
      </w:tabs>
    </w:pPr>
  </w:style>
  <w:style w:type="character" w:customStyle="1" w:styleId="HeaderChar">
    <w:name w:val="Header Char"/>
    <w:basedOn w:val="DefaultParagraphFont"/>
    <w:link w:val="Header"/>
    <w:uiPriority w:val="99"/>
    <w:rsid w:val="00D964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3E"/>
    <w:pPr>
      <w:tabs>
        <w:tab w:val="center" w:pos="4680"/>
        <w:tab w:val="right" w:pos="9360"/>
      </w:tabs>
    </w:pPr>
  </w:style>
  <w:style w:type="character" w:customStyle="1" w:styleId="FooterChar">
    <w:name w:val="Footer Char"/>
    <w:basedOn w:val="DefaultParagraphFont"/>
    <w:link w:val="Footer"/>
    <w:uiPriority w:val="99"/>
    <w:rsid w:val="00D964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643E"/>
    <w:rPr>
      <w:rFonts w:ascii="Tahoma" w:hAnsi="Tahoma" w:cs="Tahoma"/>
      <w:sz w:val="16"/>
      <w:szCs w:val="16"/>
    </w:rPr>
  </w:style>
  <w:style w:type="character" w:customStyle="1" w:styleId="BalloonTextChar">
    <w:name w:val="Balloon Text Char"/>
    <w:basedOn w:val="DefaultParagraphFont"/>
    <w:link w:val="BalloonText"/>
    <w:uiPriority w:val="99"/>
    <w:semiHidden/>
    <w:rsid w:val="00D9643E"/>
    <w:rPr>
      <w:rFonts w:ascii="Tahoma" w:eastAsia="Times New Roman" w:hAnsi="Tahoma" w:cs="Tahoma"/>
      <w:sz w:val="16"/>
      <w:szCs w:val="16"/>
    </w:rPr>
  </w:style>
  <w:style w:type="table" w:styleId="TableGrid">
    <w:name w:val="Table Grid"/>
    <w:basedOn w:val="TableNormal"/>
    <w:uiPriority w:val="59"/>
    <w:rsid w:val="00A6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7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27895">
      <w:bodyDiv w:val="1"/>
      <w:marLeft w:val="0"/>
      <w:marRight w:val="0"/>
      <w:marTop w:val="0"/>
      <w:marBottom w:val="0"/>
      <w:divBdr>
        <w:top w:val="none" w:sz="0" w:space="0" w:color="auto"/>
        <w:left w:val="none" w:sz="0" w:space="0" w:color="auto"/>
        <w:bottom w:val="none" w:sz="0" w:space="0" w:color="auto"/>
        <w:right w:val="none" w:sz="0" w:space="0" w:color="auto"/>
      </w:divBdr>
    </w:div>
    <w:div w:id="209460672">
      <w:bodyDiv w:val="1"/>
      <w:marLeft w:val="0"/>
      <w:marRight w:val="0"/>
      <w:marTop w:val="0"/>
      <w:marBottom w:val="0"/>
      <w:divBdr>
        <w:top w:val="none" w:sz="0" w:space="0" w:color="auto"/>
        <w:left w:val="none" w:sz="0" w:space="0" w:color="auto"/>
        <w:bottom w:val="none" w:sz="0" w:space="0" w:color="auto"/>
        <w:right w:val="none" w:sz="0" w:space="0" w:color="auto"/>
      </w:divBdr>
    </w:div>
    <w:div w:id="687100932">
      <w:bodyDiv w:val="1"/>
      <w:marLeft w:val="0"/>
      <w:marRight w:val="0"/>
      <w:marTop w:val="0"/>
      <w:marBottom w:val="0"/>
      <w:divBdr>
        <w:top w:val="none" w:sz="0" w:space="0" w:color="auto"/>
        <w:left w:val="none" w:sz="0" w:space="0" w:color="auto"/>
        <w:bottom w:val="none" w:sz="0" w:space="0" w:color="auto"/>
        <w:right w:val="none" w:sz="0" w:space="0" w:color="auto"/>
      </w:divBdr>
    </w:div>
    <w:div w:id="809708008">
      <w:bodyDiv w:val="1"/>
      <w:marLeft w:val="0"/>
      <w:marRight w:val="0"/>
      <w:marTop w:val="0"/>
      <w:marBottom w:val="0"/>
      <w:divBdr>
        <w:top w:val="none" w:sz="0" w:space="0" w:color="auto"/>
        <w:left w:val="none" w:sz="0" w:space="0" w:color="auto"/>
        <w:bottom w:val="none" w:sz="0" w:space="0" w:color="auto"/>
        <w:right w:val="none" w:sz="0" w:space="0" w:color="auto"/>
      </w:divBdr>
    </w:div>
    <w:div w:id="952395915">
      <w:bodyDiv w:val="1"/>
      <w:marLeft w:val="0"/>
      <w:marRight w:val="0"/>
      <w:marTop w:val="0"/>
      <w:marBottom w:val="0"/>
      <w:divBdr>
        <w:top w:val="none" w:sz="0" w:space="0" w:color="auto"/>
        <w:left w:val="none" w:sz="0" w:space="0" w:color="auto"/>
        <w:bottom w:val="none" w:sz="0" w:space="0" w:color="auto"/>
        <w:right w:val="none" w:sz="0" w:space="0" w:color="auto"/>
      </w:divBdr>
    </w:div>
    <w:div w:id="961694330">
      <w:bodyDiv w:val="1"/>
      <w:marLeft w:val="0"/>
      <w:marRight w:val="0"/>
      <w:marTop w:val="0"/>
      <w:marBottom w:val="0"/>
      <w:divBdr>
        <w:top w:val="none" w:sz="0" w:space="0" w:color="auto"/>
        <w:left w:val="none" w:sz="0" w:space="0" w:color="auto"/>
        <w:bottom w:val="none" w:sz="0" w:space="0" w:color="auto"/>
        <w:right w:val="none" w:sz="0" w:space="0" w:color="auto"/>
      </w:divBdr>
    </w:div>
    <w:div w:id="1204367270">
      <w:bodyDiv w:val="1"/>
      <w:marLeft w:val="0"/>
      <w:marRight w:val="0"/>
      <w:marTop w:val="0"/>
      <w:marBottom w:val="0"/>
      <w:divBdr>
        <w:top w:val="none" w:sz="0" w:space="0" w:color="auto"/>
        <w:left w:val="none" w:sz="0" w:space="0" w:color="auto"/>
        <w:bottom w:val="none" w:sz="0" w:space="0" w:color="auto"/>
        <w:right w:val="none" w:sz="0" w:space="0" w:color="auto"/>
      </w:divBdr>
    </w:div>
    <w:div w:id="1214734835">
      <w:bodyDiv w:val="1"/>
      <w:marLeft w:val="0"/>
      <w:marRight w:val="0"/>
      <w:marTop w:val="0"/>
      <w:marBottom w:val="0"/>
      <w:divBdr>
        <w:top w:val="none" w:sz="0" w:space="0" w:color="auto"/>
        <w:left w:val="none" w:sz="0" w:space="0" w:color="auto"/>
        <w:bottom w:val="none" w:sz="0" w:space="0" w:color="auto"/>
        <w:right w:val="none" w:sz="0" w:space="0" w:color="auto"/>
      </w:divBdr>
    </w:div>
    <w:div w:id="1319768205">
      <w:bodyDiv w:val="1"/>
      <w:marLeft w:val="0"/>
      <w:marRight w:val="0"/>
      <w:marTop w:val="0"/>
      <w:marBottom w:val="0"/>
      <w:divBdr>
        <w:top w:val="none" w:sz="0" w:space="0" w:color="auto"/>
        <w:left w:val="none" w:sz="0" w:space="0" w:color="auto"/>
        <w:bottom w:val="none" w:sz="0" w:space="0" w:color="auto"/>
        <w:right w:val="none" w:sz="0" w:space="0" w:color="auto"/>
      </w:divBdr>
    </w:div>
    <w:div w:id="1802187422">
      <w:bodyDiv w:val="1"/>
      <w:marLeft w:val="0"/>
      <w:marRight w:val="0"/>
      <w:marTop w:val="0"/>
      <w:marBottom w:val="0"/>
      <w:divBdr>
        <w:top w:val="none" w:sz="0" w:space="0" w:color="auto"/>
        <w:left w:val="none" w:sz="0" w:space="0" w:color="auto"/>
        <w:bottom w:val="none" w:sz="0" w:space="0" w:color="auto"/>
        <w:right w:val="none" w:sz="0" w:space="0" w:color="auto"/>
      </w:divBdr>
    </w:div>
    <w:div w:id="18669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FBBD0-1C8D-4AB8-8C6F-0A763366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Spurlock</dc:creator>
  <cp:lastModifiedBy>Jennifer Stone</cp:lastModifiedBy>
  <cp:revision>3</cp:revision>
  <cp:lastPrinted>2019-11-19T15:50:00Z</cp:lastPrinted>
  <dcterms:created xsi:type="dcterms:W3CDTF">2020-06-29T19:29:00Z</dcterms:created>
  <dcterms:modified xsi:type="dcterms:W3CDTF">2020-07-02T17:59:00Z</dcterms:modified>
</cp:coreProperties>
</file>